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C6A473" w14:textId="0A5B9FCC" w:rsidR="00376998" w:rsidRPr="00B37587" w:rsidRDefault="000C2750" w:rsidP="009B52E6">
      <w:pPr>
        <w:spacing w:line="240" w:lineRule="auto"/>
        <w:rPr>
          <w:rFonts w:asciiTheme="minorHAnsi" w:hAnsiTheme="minorHAnsi" w:cstheme="minorHAnsi"/>
          <w:sz w:val="22"/>
        </w:rPr>
      </w:pPr>
      <w:r w:rsidRPr="00B37587">
        <w:rPr>
          <w:rFonts w:asciiTheme="minorHAnsi" w:hAnsiTheme="minorHAnsi" w:cstheme="minorHAnsi"/>
          <w:b/>
          <w:bCs/>
          <w:sz w:val="22"/>
        </w:rPr>
        <w:t>Title</w:t>
      </w:r>
      <w:r w:rsidRPr="00B37587">
        <w:rPr>
          <w:rFonts w:asciiTheme="minorHAnsi" w:hAnsiTheme="minorHAnsi" w:cstheme="minorHAnsi"/>
          <w:sz w:val="22"/>
        </w:rPr>
        <w:t xml:space="preserve">: </w:t>
      </w:r>
      <w:r w:rsidR="00710C1B" w:rsidRPr="00710C1B">
        <w:rPr>
          <w:rFonts w:asciiTheme="minorHAnsi" w:hAnsiTheme="minorHAnsi" w:cstheme="minorHAnsi"/>
          <w:sz w:val="22"/>
        </w:rPr>
        <w:t>Efficacy of powered air purifying respirators (PAPRs) as source control devices for simulated respiratory aerosols</w:t>
      </w:r>
      <w:r w:rsidR="00E91B20">
        <w:rPr>
          <w:rFonts w:asciiTheme="minorHAnsi" w:hAnsiTheme="minorHAnsi" w:cstheme="minorHAnsi"/>
          <w:sz w:val="22"/>
        </w:rPr>
        <w:t>—</w:t>
      </w:r>
      <w:r w:rsidR="005C35E1" w:rsidRPr="00B37587">
        <w:rPr>
          <w:rFonts w:asciiTheme="minorHAnsi" w:hAnsiTheme="minorHAnsi" w:cstheme="minorHAnsi"/>
          <w:sz w:val="22"/>
        </w:rPr>
        <w:t>Dataset</w:t>
      </w:r>
      <w:r w:rsidR="00E91B20">
        <w:rPr>
          <w:rFonts w:asciiTheme="minorHAnsi" w:hAnsiTheme="minorHAnsi" w:cstheme="minorHAnsi"/>
          <w:sz w:val="22"/>
        </w:rPr>
        <w:t xml:space="preserve"> description</w:t>
      </w:r>
    </w:p>
    <w:p w14:paraId="7C8A5C97" w14:textId="630F15E6" w:rsidR="000C2750" w:rsidRPr="00B37587" w:rsidRDefault="000C2750" w:rsidP="009B52E6">
      <w:pPr>
        <w:spacing w:line="240" w:lineRule="auto"/>
        <w:rPr>
          <w:rFonts w:asciiTheme="minorHAnsi" w:hAnsiTheme="minorHAnsi" w:cstheme="minorHAnsi"/>
          <w:sz w:val="22"/>
        </w:rPr>
      </w:pPr>
    </w:p>
    <w:p w14:paraId="3551E26B" w14:textId="310C8F8E" w:rsidR="000C2750" w:rsidRPr="00B37587" w:rsidRDefault="000C2750" w:rsidP="009B52E6">
      <w:pPr>
        <w:spacing w:line="240" w:lineRule="auto"/>
        <w:rPr>
          <w:rFonts w:asciiTheme="minorHAnsi" w:hAnsiTheme="minorHAnsi" w:cstheme="minorHAnsi"/>
          <w:sz w:val="22"/>
        </w:rPr>
      </w:pPr>
      <w:r w:rsidRPr="00B37587">
        <w:rPr>
          <w:rFonts w:asciiTheme="minorHAnsi" w:hAnsiTheme="minorHAnsi" w:cstheme="minorHAnsi"/>
          <w:b/>
          <w:bCs/>
          <w:sz w:val="22"/>
        </w:rPr>
        <w:t>Dataset Number</w:t>
      </w:r>
      <w:r w:rsidRPr="00B37587">
        <w:rPr>
          <w:rFonts w:asciiTheme="minorHAnsi" w:hAnsiTheme="minorHAnsi" w:cstheme="minorHAnsi"/>
          <w:sz w:val="22"/>
        </w:rPr>
        <w:t>:</w:t>
      </w:r>
      <w:r w:rsidR="000A458E" w:rsidRPr="00B37587">
        <w:rPr>
          <w:rFonts w:asciiTheme="minorHAnsi" w:hAnsiTheme="minorHAnsi" w:cstheme="minorHAnsi"/>
          <w:sz w:val="22"/>
        </w:rPr>
        <w:t xml:space="preserve"> </w:t>
      </w:r>
      <w:r w:rsidR="00EE5486">
        <w:rPr>
          <w:rFonts w:asciiTheme="minorHAnsi" w:hAnsiTheme="minorHAnsi" w:cstheme="minorHAnsi"/>
          <w:sz w:val="22"/>
        </w:rPr>
        <w:t>RD-1096-2024-0</w:t>
      </w:r>
    </w:p>
    <w:p w14:paraId="1DD9EC97" w14:textId="4C5619FF" w:rsidR="00EF1CFE" w:rsidRPr="00B37587" w:rsidRDefault="00EF1CFE" w:rsidP="009B52E6">
      <w:pPr>
        <w:spacing w:line="240" w:lineRule="auto"/>
        <w:rPr>
          <w:rFonts w:asciiTheme="minorHAnsi" w:hAnsiTheme="minorHAnsi" w:cstheme="minorHAnsi"/>
          <w:sz w:val="22"/>
        </w:rPr>
      </w:pPr>
    </w:p>
    <w:p w14:paraId="1E302DDF" w14:textId="1170E2DF" w:rsidR="00EF1CFE" w:rsidRDefault="00EF1CFE" w:rsidP="009B52E6">
      <w:pPr>
        <w:spacing w:line="240" w:lineRule="auto"/>
        <w:rPr>
          <w:rFonts w:asciiTheme="minorHAnsi" w:hAnsiTheme="minorHAnsi" w:cstheme="minorHAnsi"/>
          <w:b/>
          <w:bCs/>
          <w:sz w:val="22"/>
        </w:rPr>
      </w:pPr>
      <w:r w:rsidRPr="00B37587">
        <w:rPr>
          <w:rFonts w:asciiTheme="minorHAnsi" w:hAnsiTheme="minorHAnsi" w:cstheme="minorHAnsi"/>
          <w:b/>
          <w:bCs/>
          <w:sz w:val="22"/>
        </w:rPr>
        <w:t>Introduction</w:t>
      </w:r>
    </w:p>
    <w:p w14:paraId="3A9C30FD" w14:textId="77777777" w:rsidR="00280EFD" w:rsidRPr="00B37587" w:rsidRDefault="00280EFD" w:rsidP="009B52E6">
      <w:pPr>
        <w:spacing w:line="240" w:lineRule="auto"/>
        <w:rPr>
          <w:rFonts w:asciiTheme="minorHAnsi" w:hAnsiTheme="minorHAnsi" w:cstheme="minorHAnsi"/>
          <w:b/>
          <w:bCs/>
          <w:sz w:val="22"/>
        </w:rPr>
      </w:pPr>
    </w:p>
    <w:p w14:paraId="1450F30F" w14:textId="77777777" w:rsidR="00280EFD" w:rsidRDefault="00280EFD" w:rsidP="00280EFD">
      <w:pPr>
        <w:pStyle w:val="Heading2"/>
      </w:pPr>
      <w:r>
        <w:t>Background</w:t>
      </w:r>
    </w:p>
    <w:p w14:paraId="00893FA0" w14:textId="77777777" w:rsidR="00280EFD" w:rsidRPr="00280EFD" w:rsidRDefault="00280EFD" w:rsidP="00280EFD">
      <w:pPr>
        <w:rPr>
          <w:rFonts w:asciiTheme="minorHAnsi" w:hAnsiTheme="minorHAnsi" w:cstheme="minorHAnsi"/>
          <w:sz w:val="22"/>
          <w:szCs w:val="20"/>
        </w:rPr>
      </w:pPr>
      <w:r w:rsidRPr="00280EFD">
        <w:rPr>
          <w:rFonts w:asciiTheme="minorHAnsi" w:hAnsiTheme="minorHAnsi" w:cstheme="minorHAnsi"/>
          <w:sz w:val="22"/>
          <w:szCs w:val="20"/>
        </w:rPr>
        <w:t xml:space="preserve">Powered air purifying respirators (PAPRs) are a popular alternative to the use of filtering facepiece respirators by healthcare workers. Although PAPRs protect the wearer from aerosol particles, their ability to block infectious aerosol particles exhaled by the wearer from being released into the environment (called source control) is unclear. </w:t>
      </w:r>
    </w:p>
    <w:p w14:paraId="2C5A80F1" w14:textId="77777777" w:rsidR="00280EFD" w:rsidRDefault="00280EFD" w:rsidP="00280EFD">
      <w:pPr>
        <w:pStyle w:val="Heading2"/>
      </w:pPr>
      <w:r>
        <w:t>Methods</w:t>
      </w:r>
    </w:p>
    <w:p w14:paraId="271170A6" w14:textId="08D2D9DC" w:rsidR="00280EFD" w:rsidRPr="00280EFD" w:rsidRDefault="00280EFD" w:rsidP="00280EFD">
      <w:pPr>
        <w:rPr>
          <w:rFonts w:asciiTheme="minorHAnsi" w:hAnsiTheme="minorHAnsi" w:cstheme="minorHAnsi"/>
          <w:sz w:val="22"/>
          <w:szCs w:val="20"/>
        </w:rPr>
      </w:pPr>
      <w:r w:rsidRPr="00280EFD">
        <w:rPr>
          <w:rFonts w:asciiTheme="minorHAnsi" w:hAnsiTheme="minorHAnsi" w:cstheme="minorHAnsi"/>
          <w:sz w:val="22"/>
          <w:szCs w:val="20"/>
        </w:rPr>
        <w:t xml:space="preserve">The source control performance of five PAPR </w:t>
      </w:r>
      <w:r w:rsidR="00E91B20">
        <w:rPr>
          <w:rFonts w:asciiTheme="minorHAnsi" w:hAnsiTheme="minorHAnsi" w:cstheme="minorHAnsi"/>
          <w:sz w:val="22"/>
          <w:szCs w:val="20"/>
        </w:rPr>
        <w:t>loose-fitting facepiece</w:t>
      </w:r>
      <w:r w:rsidRPr="00280EFD">
        <w:rPr>
          <w:rFonts w:asciiTheme="minorHAnsi" w:hAnsiTheme="minorHAnsi" w:cstheme="minorHAnsi"/>
          <w:sz w:val="22"/>
          <w:szCs w:val="20"/>
        </w:rPr>
        <w:t xml:space="preserve">s were tested using a manikin that exhales aerosol particles. The </w:t>
      </w:r>
      <w:r w:rsidR="00E91B20">
        <w:rPr>
          <w:rFonts w:asciiTheme="minorHAnsi" w:hAnsiTheme="minorHAnsi" w:cstheme="minorHAnsi"/>
          <w:sz w:val="22"/>
          <w:szCs w:val="20"/>
        </w:rPr>
        <w:t>facepiece</w:t>
      </w:r>
      <w:r w:rsidRPr="00280EFD">
        <w:rPr>
          <w:rFonts w:asciiTheme="minorHAnsi" w:hAnsiTheme="minorHAnsi" w:cstheme="minorHAnsi"/>
          <w:sz w:val="22"/>
          <w:szCs w:val="20"/>
        </w:rPr>
        <w:t>s were tested by themselves and in combination with a surgical mask or N95</w:t>
      </w:r>
      <w:r w:rsidRPr="00280EFD">
        <w:rPr>
          <w:rFonts w:asciiTheme="minorHAnsi" w:hAnsiTheme="minorHAnsi" w:cstheme="minorHAnsi"/>
          <w:sz w:val="22"/>
          <w:szCs w:val="20"/>
          <w:vertAlign w:val="superscript"/>
        </w:rPr>
        <w:t>®</w:t>
      </w:r>
      <w:r w:rsidRPr="00280EFD">
        <w:rPr>
          <w:rFonts w:asciiTheme="minorHAnsi" w:hAnsiTheme="minorHAnsi" w:cstheme="minorHAnsi"/>
          <w:sz w:val="22"/>
          <w:szCs w:val="20"/>
        </w:rPr>
        <w:t xml:space="preserve"> respirator. </w:t>
      </w:r>
    </w:p>
    <w:p w14:paraId="631B6024" w14:textId="77777777" w:rsidR="00280EFD" w:rsidRDefault="00280EFD" w:rsidP="00280EFD">
      <w:pPr>
        <w:pStyle w:val="Heading2"/>
      </w:pPr>
      <w:r>
        <w:t>Results</w:t>
      </w:r>
    </w:p>
    <w:p w14:paraId="2C442061" w14:textId="5B6E544E" w:rsidR="00280EFD" w:rsidRPr="00280EFD" w:rsidRDefault="00280EFD" w:rsidP="00280EFD">
      <w:pPr>
        <w:rPr>
          <w:rFonts w:asciiTheme="minorHAnsi" w:hAnsiTheme="minorHAnsi" w:cstheme="minorHAnsi"/>
          <w:sz w:val="22"/>
          <w:szCs w:val="20"/>
        </w:rPr>
      </w:pPr>
      <w:r w:rsidRPr="00280EFD">
        <w:rPr>
          <w:rFonts w:asciiTheme="minorHAnsi" w:hAnsiTheme="minorHAnsi" w:cstheme="minorHAnsi"/>
          <w:sz w:val="22"/>
          <w:szCs w:val="20"/>
        </w:rPr>
        <w:t xml:space="preserve">Four of the </w:t>
      </w:r>
      <w:r w:rsidR="00E91B20">
        <w:rPr>
          <w:rFonts w:asciiTheme="minorHAnsi" w:hAnsiTheme="minorHAnsi" w:cstheme="minorHAnsi"/>
          <w:sz w:val="22"/>
          <w:szCs w:val="20"/>
        </w:rPr>
        <w:t>facepiece</w:t>
      </w:r>
      <w:r w:rsidRPr="00280EFD">
        <w:rPr>
          <w:rFonts w:asciiTheme="minorHAnsi" w:hAnsiTheme="minorHAnsi" w:cstheme="minorHAnsi"/>
          <w:sz w:val="22"/>
          <w:szCs w:val="20"/>
        </w:rPr>
        <w:t xml:space="preserve">s did not significantly reduce the release of exhaled aerosols into the environment. One </w:t>
      </w:r>
      <w:r w:rsidR="00E91B20">
        <w:rPr>
          <w:rFonts w:asciiTheme="minorHAnsi" w:hAnsiTheme="minorHAnsi" w:cstheme="minorHAnsi"/>
          <w:sz w:val="22"/>
          <w:szCs w:val="20"/>
        </w:rPr>
        <w:t>facepiece</w:t>
      </w:r>
      <w:r w:rsidRPr="00280EFD">
        <w:rPr>
          <w:rFonts w:asciiTheme="minorHAnsi" w:hAnsiTheme="minorHAnsi" w:cstheme="minorHAnsi"/>
          <w:sz w:val="22"/>
          <w:szCs w:val="20"/>
        </w:rPr>
        <w:t xml:space="preserve"> with a HEPA filtration panel did provide effective source control of the exhaled aerosols. Wearing a mask or respirator under the </w:t>
      </w:r>
      <w:r w:rsidR="00E91B20">
        <w:rPr>
          <w:rFonts w:asciiTheme="minorHAnsi" w:hAnsiTheme="minorHAnsi" w:cstheme="minorHAnsi"/>
          <w:sz w:val="22"/>
          <w:szCs w:val="20"/>
        </w:rPr>
        <w:t>facepiece</w:t>
      </w:r>
      <w:r w:rsidRPr="00280EFD">
        <w:rPr>
          <w:rFonts w:asciiTheme="minorHAnsi" w:hAnsiTheme="minorHAnsi" w:cstheme="minorHAnsi"/>
          <w:sz w:val="22"/>
          <w:szCs w:val="20"/>
        </w:rPr>
        <w:t xml:space="preserve"> significantly improved the source control performance.</w:t>
      </w:r>
    </w:p>
    <w:p w14:paraId="4C9AFC8F" w14:textId="77777777" w:rsidR="00280EFD" w:rsidRDefault="00280EFD" w:rsidP="00280EFD">
      <w:pPr>
        <w:pStyle w:val="Heading2"/>
      </w:pPr>
      <w:r>
        <w:t>Conclusions</w:t>
      </w:r>
    </w:p>
    <w:p w14:paraId="70D7D330" w14:textId="1CB19B80" w:rsidR="00280EFD" w:rsidRPr="00280EFD" w:rsidRDefault="00280EFD" w:rsidP="00280EFD">
      <w:pPr>
        <w:rPr>
          <w:rFonts w:asciiTheme="minorHAnsi" w:hAnsiTheme="minorHAnsi" w:cstheme="minorHAnsi"/>
          <w:sz w:val="22"/>
          <w:szCs w:val="20"/>
        </w:rPr>
      </w:pPr>
      <w:r w:rsidRPr="00280EFD">
        <w:rPr>
          <w:rFonts w:asciiTheme="minorHAnsi" w:hAnsiTheme="minorHAnsi" w:cstheme="minorHAnsi"/>
          <w:sz w:val="22"/>
          <w:szCs w:val="20"/>
        </w:rPr>
        <w:t xml:space="preserve">Most PAPR </w:t>
      </w:r>
      <w:r w:rsidR="00E91B20">
        <w:rPr>
          <w:rFonts w:asciiTheme="minorHAnsi" w:hAnsiTheme="minorHAnsi" w:cstheme="minorHAnsi"/>
          <w:sz w:val="22"/>
          <w:szCs w:val="20"/>
        </w:rPr>
        <w:t>facepiece</w:t>
      </w:r>
      <w:r w:rsidRPr="00280EFD">
        <w:rPr>
          <w:rFonts w:asciiTheme="minorHAnsi" w:hAnsiTheme="minorHAnsi" w:cstheme="minorHAnsi"/>
          <w:sz w:val="22"/>
          <w:szCs w:val="20"/>
        </w:rPr>
        <w:t xml:space="preserve">s do not block aerosols exhaled by the wearer. </w:t>
      </w:r>
      <w:r w:rsidR="00E91B20">
        <w:rPr>
          <w:rFonts w:asciiTheme="minorHAnsi" w:hAnsiTheme="minorHAnsi" w:cstheme="minorHAnsi"/>
          <w:sz w:val="22"/>
          <w:szCs w:val="20"/>
        </w:rPr>
        <w:t>Facepiece</w:t>
      </w:r>
      <w:r w:rsidRPr="00280EFD">
        <w:rPr>
          <w:rFonts w:asciiTheme="minorHAnsi" w:hAnsiTheme="minorHAnsi" w:cstheme="minorHAnsi"/>
          <w:sz w:val="22"/>
          <w:szCs w:val="20"/>
        </w:rPr>
        <w:t xml:space="preserve">s designed to filter exhaled particles can prevent aerosols from being released into the environment. Wearing a surgical mask or a filtering facepiece respirator under the </w:t>
      </w:r>
      <w:r w:rsidR="00E91B20">
        <w:rPr>
          <w:rFonts w:asciiTheme="minorHAnsi" w:hAnsiTheme="minorHAnsi" w:cstheme="minorHAnsi"/>
          <w:sz w:val="22"/>
          <w:szCs w:val="20"/>
        </w:rPr>
        <w:t>facepiece</w:t>
      </w:r>
      <w:r w:rsidRPr="00280EFD">
        <w:rPr>
          <w:rFonts w:asciiTheme="minorHAnsi" w:hAnsiTheme="minorHAnsi" w:cstheme="minorHAnsi"/>
          <w:sz w:val="22"/>
          <w:szCs w:val="20"/>
        </w:rPr>
        <w:t xml:space="preserve"> can also provide source control, but PAPRs are not typically certified for use with masks and respirators.</w:t>
      </w:r>
    </w:p>
    <w:p w14:paraId="32BC3D95" w14:textId="77777777" w:rsidR="00EF1CFE" w:rsidRPr="00B37587" w:rsidRDefault="00EF1CFE" w:rsidP="009B52E6">
      <w:pPr>
        <w:spacing w:line="240" w:lineRule="auto"/>
        <w:rPr>
          <w:rFonts w:asciiTheme="minorHAnsi" w:hAnsiTheme="minorHAnsi" w:cstheme="minorHAnsi"/>
          <w:sz w:val="22"/>
        </w:rPr>
      </w:pPr>
    </w:p>
    <w:p w14:paraId="3804D78E" w14:textId="77777777" w:rsidR="00B37587" w:rsidRPr="00B37587" w:rsidRDefault="00B37587" w:rsidP="009B52E6">
      <w:pPr>
        <w:spacing w:line="240" w:lineRule="auto"/>
        <w:rPr>
          <w:rFonts w:asciiTheme="minorHAnsi" w:hAnsiTheme="minorHAnsi" w:cstheme="minorHAnsi"/>
          <w:b/>
          <w:bCs/>
          <w:sz w:val="22"/>
        </w:rPr>
      </w:pPr>
    </w:p>
    <w:p w14:paraId="7A5BC57E" w14:textId="674099CD" w:rsidR="003C79D5" w:rsidRPr="00B37587" w:rsidRDefault="00FC61C4" w:rsidP="009B52E6">
      <w:pPr>
        <w:spacing w:line="240" w:lineRule="auto"/>
        <w:rPr>
          <w:rFonts w:asciiTheme="minorHAnsi" w:hAnsiTheme="minorHAnsi" w:cstheme="minorHAnsi"/>
          <w:b/>
          <w:bCs/>
          <w:sz w:val="22"/>
        </w:rPr>
      </w:pPr>
      <w:r w:rsidRPr="00B37587">
        <w:rPr>
          <w:rFonts w:asciiTheme="minorHAnsi" w:hAnsiTheme="minorHAnsi" w:cstheme="minorHAnsi"/>
          <w:b/>
          <w:bCs/>
          <w:sz w:val="22"/>
        </w:rPr>
        <w:t>Data Collection Methods</w:t>
      </w:r>
    </w:p>
    <w:p w14:paraId="4777518E" w14:textId="77777777" w:rsidR="00553E4C" w:rsidRPr="00B37587" w:rsidRDefault="00553E4C" w:rsidP="009B52E6">
      <w:pPr>
        <w:spacing w:line="240" w:lineRule="auto"/>
        <w:rPr>
          <w:rFonts w:asciiTheme="minorHAnsi" w:hAnsiTheme="minorHAnsi" w:cstheme="minorHAnsi"/>
          <w:b/>
          <w:iCs/>
          <w:sz w:val="22"/>
        </w:rPr>
      </w:pPr>
    </w:p>
    <w:p w14:paraId="6DB3031B" w14:textId="43A1679D" w:rsidR="00803AF1" w:rsidRPr="00B37587" w:rsidRDefault="004702CC" w:rsidP="004702CC">
      <w:pPr>
        <w:pStyle w:val="ListParagraph"/>
        <w:numPr>
          <w:ilvl w:val="0"/>
          <w:numId w:val="2"/>
        </w:numPr>
        <w:spacing w:after="0" w:line="240" w:lineRule="auto"/>
        <w:jc w:val="both"/>
        <w:rPr>
          <w:rFonts w:cstheme="minorHAnsi"/>
        </w:rPr>
      </w:pPr>
      <w:r w:rsidRPr="00B37587">
        <w:rPr>
          <w:rFonts w:cstheme="minorHAnsi"/>
        </w:rPr>
        <w:t>Aerosol Particle Generation</w:t>
      </w:r>
    </w:p>
    <w:p w14:paraId="45D57FA5" w14:textId="0E6D4807" w:rsidR="004702CC" w:rsidRPr="00B37587" w:rsidRDefault="00280EFD" w:rsidP="004702CC">
      <w:pPr>
        <w:pStyle w:val="ListParagraph"/>
        <w:numPr>
          <w:ilvl w:val="1"/>
          <w:numId w:val="2"/>
        </w:numPr>
        <w:spacing w:after="0" w:line="240" w:lineRule="auto"/>
        <w:jc w:val="both"/>
        <w:rPr>
          <w:rFonts w:cstheme="minorHAnsi"/>
        </w:rPr>
      </w:pPr>
      <w:r>
        <w:rPr>
          <w:rFonts w:cstheme="minorHAnsi"/>
        </w:rPr>
        <w:t>5</w:t>
      </w:r>
      <w:r w:rsidR="004702CC" w:rsidRPr="00B37587">
        <w:rPr>
          <w:rFonts w:cstheme="minorHAnsi"/>
        </w:rPr>
        <w:t xml:space="preserve">% w/v KCl </w:t>
      </w:r>
      <w:r w:rsidR="004136DC" w:rsidRPr="00B37587">
        <w:rPr>
          <w:rFonts w:cstheme="minorHAnsi"/>
        </w:rPr>
        <w:t>aerosolized</w:t>
      </w:r>
      <w:r w:rsidR="004702CC" w:rsidRPr="00B37587">
        <w:rPr>
          <w:rFonts w:cstheme="minorHAnsi"/>
        </w:rPr>
        <w:t xml:space="preserve"> via single jet Collison </w:t>
      </w:r>
      <w:r w:rsidR="00710C1B">
        <w:rPr>
          <w:rFonts w:cstheme="minorHAnsi"/>
        </w:rPr>
        <w:t>nebulizer, dried, and neutralized.</w:t>
      </w:r>
    </w:p>
    <w:p w14:paraId="71EEE124" w14:textId="70D803EA" w:rsidR="00B37587" w:rsidRDefault="00B37587" w:rsidP="00553E4C">
      <w:pPr>
        <w:pStyle w:val="ListParagraph"/>
        <w:numPr>
          <w:ilvl w:val="0"/>
          <w:numId w:val="2"/>
        </w:numPr>
        <w:spacing w:after="0" w:line="240" w:lineRule="auto"/>
        <w:jc w:val="both"/>
        <w:rPr>
          <w:rFonts w:cstheme="minorHAnsi"/>
        </w:rPr>
      </w:pPr>
      <w:r>
        <w:rPr>
          <w:rFonts w:cstheme="minorHAnsi"/>
        </w:rPr>
        <w:t>Airflows</w:t>
      </w:r>
    </w:p>
    <w:p w14:paraId="72F36BA1" w14:textId="1424B2B6" w:rsidR="00B37587" w:rsidRPr="00280EFD" w:rsidRDefault="00B37587" w:rsidP="00280EFD">
      <w:pPr>
        <w:pStyle w:val="ListParagraph"/>
        <w:numPr>
          <w:ilvl w:val="1"/>
          <w:numId w:val="2"/>
        </w:numPr>
        <w:spacing w:after="0" w:line="240" w:lineRule="auto"/>
        <w:jc w:val="both"/>
        <w:rPr>
          <w:rFonts w:cstheme="minorHAnsi"/>
        </w:rPr>
      </w:pPr>
      <w:r>
        <w:rPr>
          <w:rFonts w:cstheme="minorHAnsi"/>
        </w:rPr>
        <w:t>C</w:t>
      </w:r>
      <w:r w:rsidRPr="00B37587">
        <w:rPr>
          <w:rFonts w:cstheme="minorHAnsi"/>
        </w:rPr>
        <w:t>yclic breathing at 15 L/min</w:t>
      </w:r>
    </w:p>
    <w:p w14:paraId="158355EF" w14:textId="6323DD55" w:rsidR="004702CC" w:rsidRDefault="00553E4C" w:rsidP="00553E4C">
      <w:pPr>
        <w:pStyle w:val="ListParagraph"/>
        <w:numPr>
          <w:ilvl w:val="0"/>
          <w:numId w:val="2"/>
        </w:numPr>
        <w:spacing w:after="0" w:line="240" w:lineRule="auto"/>
        <w:jc w:val="both"/>
        <w:rPr>
          <w:rFonts w:cstheme="minorHAnsi"/>
        </w:rPr>
      </w:pPr>
      <w:r w:rsidRPr="00B37587">
        <w:rPr>
          <w:rFonts w:cstheme="minorHAnsi"/>
        </w:rPr>
        <w:t>Aerosol Particle Measurement</w:t>
      </w:r>
    </w:p>
    <w:p w14:paraId="58283FE8" w14:textId="097D831A" w:rsidR="00280EFD" w:rsidRPr="00B37587" w:rsidRDefault="00280EFD" w:rsidP="00280EFD">
      <w:pPr>
        <w:pStyle w:val="ListParagraph"/>
        <w:numPr>
          <w:ilvl w:val="1"/>
          <w:numId w:val="2"/>
        </w:numPr>
        <w:spacing w:after="0" w:line="240" w:lineRule="auto"/>
        <w:jc w:val="both"/>
        <w:rPr>
          <w:rFonts w:cstheme="minorHAnsi"/>
        </w:rPr>
      </w:pPr>
      <w:r>
        <w:rPr>
          <w:rFonts w:cstheme="minorHAnsi"/>
        </w:rPr>
        <w:t>The collection chamber was purged of aerosol particles before starting the experiments.</w:t>
      </w:r>
    </w:p>
    <w:p w14:paraId="11EA076F" w14:textId="74CDFA3C" w:rsidR="003D5870" w:rsidRPr="003D5870" w:rsidRDefault="00B37587" w:rsidP="00B37587">
      <w:pPr>
        <w:pStyle w:val="ListParagraph"/>
        <w:numPr>
          <w:ilvl w:val="1"/>
          <w:numId w:val="2"/>
        </w:numPr>
        <w:spacing w:after="0" w:line="240" w:lineRule="auto"/>
        <w:jc w:val="both"/>
        <w:rPr>
          <w:rFonts w:cstheme="minorHAnsi"/>
        </w:rPr>
      </w:pPr>
      <w:r>
        <w:t>A</w:t>
      </w:r>
      <w:r w:rsidRPr="00A758D6">
        <w:t xml:space="preserve">n optical particle spectrometer (OPS; Model 3330, TSI) at the </w:t>
      </w:r>
      <w:r w:rsidR="00280EFD">
        <w:t>outlet</w:t>
      </w:r>
      <w:r w:rsidRPr="00A758D6">
        <w:t xml:space="preserve"> of the collection chamber measured the aerosol concentration by continuously drawing an aerosol sample at 1 L/min. </w:t>
      </w:r>
    </w:p>
    <w:p w14:paraId="60F72329" w14:textId="03A6BEFE" w:rsidR="003D5870" w:rsidRPr="003D5870" w:rsidRDefault="00B37587" w:rsidP="00B37587">
      <w:pPr>
        <w:pStyle w:val="ListParagraph"/>
        <w:numPr>
          <w:ilvl w:val="1"/>
          <w:numId w:val="2"/>
        </w:numPr>
        <w:spacing w:after="0" w:line="240" w:lineRule="auto"/>
        <w:jc w:val="both"/>
        <w:rPr>
          <w:rFonts w:cstheme="minorHAnsi"/>
        </w:rPr>
      </w:pPr>
      <w:r w:rsidRPr="00A758D6">
        <w:t>The OPS reported the aerosol particle number concentration (# particles/cm</w:t>
      </w:r>
      <w:r w:rsidRPr="00A758D6">
        <w:rPr>
          <w:vertAlign w:val="superscript"/>
        </w:rPr>
        <w:t>3</w:t>
      </w:r>
      <w:r w:rsidRPr="00A758D6">
        <w:t xml:space="preserve">) at 1 Hz in 16 logarithmically spaced size bins from 0.3 to 10 </w:t>
      </w:r>
      <w:r w:rsidRPr="00A758D6">
        <w:rPr>
          <w:rFonts w:cstheme="minorHAnsi"/>
        </w:rPr>
        <w:t>µ</w:t>
      </w:r>
      <w:r w:rsidRPr="00A758D6">
        <w:t xml:space="preserve">m. </w:t>
      </w:r>
    </w:p>
    <w:p w14:paraId="091B6494" w14:textId="2C803A4E" w:rsidR="003D5870" w:rsidRDefault="003D5870" w:rsidP="00B37587">
      <w:pPr>
        <w:pStyle w:val="ListParagraph"/>
        <w:numPr>
          <w:ilvl w:val="1"/>
          <w:numId w:val="2"/>
        </w:numPr>
        <w:spacing w:after="0" w:line="240" w:lineRule="auto"/>
        <w:jc w:val="both"/>
        <w:rPr>
          <w:rFonts w:cstheme="minorHAnsi"/>
        </w:rPr>
      </w:pPr>
      <w:r w:rsidRPr="003D5870">
        <w:rPr>
          <w:rFonts w:cstheme="minorHAnsi"/>
        </w:rPr>
        <w:t xml:space="preserve">The control experiments with no source control device indicated that the aerosol concentration reached a steady-state in </w:t>
      </w:r>
      <w:r w:rsidR="00280EFD">
        <w:rPr>
          <w:rFonts w:cstheme="minorHAnsi"/>
        </w:rPr>
        <w:t>10</w:t>
      </w:r>
      <w:r w:rsidRPr="003D5870">
        <w:rPr>
          <w:rFonts w:cstheme="minorHAnsi"/>
        </w:rPr>
        <w:t xml:space="preserve"> minutes or less</w:t>
      </w:r>
      <w:r>
        <w:rPr>
          <w:rFonts w:cstheme="minorHAnsi"/>
        </w:rPr>
        <w:t>.</w:t>
      </w:r>
    </w:p>
    <w:p w14:paraId="412D02C9" w14:textId="6E2E9C2C" w:rsidR="003D5870" w:rsidRDefault="003D5870" w:rsidP="00B37587">
      <w:pPr>
        <w:pStyle w:val="ListParagraph"/>
        <w:numPr>
          <w:ilvl w:val="1"/>
          <w:numId w:val="2"/>
        </w:numPr>
        <w:spacing w:after="0" w:line="240" w:lineRule="auto"/>
        <w:jc w:val="both"/>
        <w:rPr>
          <w:rFonts w:cstheme="minorHAnsi"/>
        </w:rPr>
      </w:pPr>
      <w:r>
        <w:rPr>
          <w:rFonts w:cstheme="minorHAnsi"/>
        </w:rPr>
        <w:lastRenderedPageBreak/>
        <w:t>T</w:t>
      </w:r>
      <w:r w:rsidRPr="003D5870">
        <w:rPr>
          <w:rFonts w:cstheme="minorHAnsi"/>
        </w:rPr>
        <w:t>he steady-state concentration was calculated based on the average concentration during the second 10 minutes of operation</w:t>
      </w:r>
      <w:r w:rsidR="002F79E2">
        <w:rPr>
          <w:rFonts w:cstheme="minorHAnsi"/>
        </w:rPr>
        <w:t xml:space="preserve"> minus the background concentration measured after the system was purged and before aerosol generation and breathing began</w:t>
      </w:r>
      <w:r w:rsidRPr="003D5870">
        <w:rPr>
          <w:rFonts w:cstheme="minorHAnsi"/>
        </w:rPr>
        <w:t xml:space="preserve">. </w:t>
      </w:r>
    </w:p>
    <w:p w14:paraId="2EF9BBD0" w14:textId="3C01FAC4" w:rsidR="003D5870" w:rsidRDefault="003D5870" w:rsidP="00B37587">
      <w:pPr>
        <w:pStyle w:val="ListParagraph"/>
        <w:numPr>
          <w:ilvl w:val="1"/>
          <w:numId w:val="2"/>
        </w:numPr>
        <w:spacing w:after="0" w:line="240" w:lineRule="auto"/>
        <w:jc w:val="both"/>
        <w:rPr>
          <w:rFonts w:cstheme="minorHAnsi"/>
        </w:rPr>
      </w:pPr>
      <w:r w:rsidRPr="003D5870">
        <w:rPr>
          <w:rFonts w:cstheme="minorHAnsi"/>
        </w:rPr>
        <w:t>The particle concentration data was checked to verify that the chamber aerosol concentration did not exceed 3000 particles/cm3, which is the upper concentration limit for the OPS.</w:t>
      </w:r>
    </w:p>
    <w:p w14:paraId="1FEFD441" w14:textId="4A1C62A6" w:rsidR="00575C65" w:rsidRPr="00B37587" w:rsidRDefault="00575C65" w:rsidP="00575C65">
      <w:pPr>
        <w:spacing w:line="240" w:lineRule="auto"/>
        <w:jc w:val="both"/>
        <w:rPr>
          <w:rFonts w:asciiTheme="minorHAnsi" w:hAnsiTheme="minorHAnsi" w:cstheme="minorHAnsi"/>
          <w:b/>
          <w:bCs/>
          <w:sz w:val="22"/>
        </w:rPr>
      </w:pPr>
      <w:r w:rsidRPr="00B37587">
        <w:rPr>
          <w:rFonts w:asciiTheme="minorHAnsi" w:hAnsiTheme="minorHAnsi" w:cstheme="minorHAnsi"/>
          <w:b/>
          <w:bCs/>
          <w:sz w:val="22"/>
        </w:rPr>
        <w:t>Citation</w:t>
      </w:r>
    </w:p>
    <w:p w14:paraId="3E0161C8" w14:textId="77777777" w:rsidR="00575C65" w:rsidRPr="00B37587" w:rsidRDefault="00575C65" w:rsidP="00575C65">
      <w:pPr>
        <w:spacing w:line="240" w:lineRule="auto"/>
        <w:jc w:val="both"/>
        <w:rPr>
          <w:rFonts w:asciiTheme="minorHAnsi" w:hAnsiTheme="minorHAnsi" w:cstheme="minorHAnsi"/>
          <w:b/>
          <w:bCs/>
          <w:sz w:val="22"/>
        </w:rPr>
      </w:pPr>
    </w:p>
    <w:p w14:paraId="0767DE05" w14:textId="6628E0A6" w:rsidR="003D5870" w:rsidRDefault="005844E9" w:rsidP="005844E9">
      <w:pPr>
        <w:spacing w:line="240" w:lineRule="auto"/>
        <w:rPr>
          <w:rFonts w:asciiTheme="minorHAnsi" w:hAnsiTheme="minorHAnsi" w:cstheme="minorHAnsi"/>
          <w:sz w:val="22"/>
        </w:rPr>
      </w:pPr>
      <w:r w:rsidRPr="005844E9">
        <w:rPr>
          <w:rFonts w:asciiTheme="minorHAnsi" w:hAnsiTheme="minorHAnsi" w:cstheme="minorHAnsi"/>
          <w:sz w:val="22"/>
        </w:rPr>
        <w:t>William G. Lindsley, Francoise M. Blachere, Raymond C. Derk, Anna Mnatsakanova, John D. Noti</w:t>
      </w:r>
      <w:r>
        <w:rPr>
          <w:rFonts w:asciiTheme="minorHAnsi" w:hAnsiTheme="minorHAnsi" w:cstheme="minorHAnsi"/>
          <w:sz w:val="22"/>
        </w:rPr>
        <w:t xml:space="preserve"> (2024). </w:t>
      </w:r>
      <w:r w:rsidRPr="005844E9">
        <w:rPr>
          <w:rFonts w:asciiTheme="minorHAnsi" w:hAnsiTheme="minorHAnsi" w:cstheme="minorHAnsi"/>
          <w:sz w:val="22"/>
        </w:rPr>
        <w:t>Efficacy of powered air-purifying respirators (PAPRs) for source control of simulated respiratory aerosols</w:t>
      </w:r>
      <w:r>
        <w:rPr>
          <w:rFonts w:asciiTheme="minorHAnsi" w:hAnsiTheme="minorHAnsi" w:cstheme="minorHAnsi"/>
          <w:sz w:val="22"/>
        </w:rPr>
        <w:t xml:space="preserve">. </w:t>
      </w:r>
      <w:r w:rsidRPr="005844E9">
        <w:rPr>
          <w:rFonts w:asciiTheme="minorHAnsi" w:hAnsiTheme="minorHAnsi" w:cstheme="minorHAnsi"/>
          <w:i/>
          <w:iCs/>
          <w:sz w:val="22"/>
        </w:rPr>
        <w:t>American Journal of Infection Control</w:t>
      </w:r>
      <w:r w:rsidRPr="005844E9">
        <w:rPr>
          <w:rFonts w:asciiTheme="minorHAnsi" w:hAnsiTheme="minorHAnsi" w:cstheme="minorHAnsi"/>
          <w:sz w:val="22"/>
        </w:rPr>
        <w:t>,</w:t>
      </w:r>
      <w:r>
        <w:rPr>
          <w:rFonts w:asciiTheme="minorHAnsi" w:hAnsiTheme="minorHAnsi" w:cstheme="minorHAnsi"/>
          <w:sz w:val="22"/>
        </w:rPr>
        <w:t xml:space="preserve"> </w:t>
      </w:r>
      <w:r w:rsidRPr="005844E9">
        <w:rPr>
          <w:rFonts w:asciiTheme="minorHAnsi" w:hAnsiTheme="minorHAnsi" w:cstheme="minorHAnsi"/>
          <w:sz w:val="22"/>
        </w:rPr>
        <w:t>Volume 52, Issue 12,</w:t>
      </w:r>
      <w:r>
        <w:rPr>
          <w:rFonts w:asciiTheme="minorHAnsi" w:hAnsiTheme="minorHAnsi" w:cstheme="minorHAnsi"/>
          <w:sz w:val="22"/>
        </w:rPr>
        <w:t xml:space="preserve"> </w:t>
      </w:r>
      <w:r w:rsidRPr="005844E9">
        <w:rPr>
          <w:rFonts w:asciiTheme="minorHAnsi" w:hAnsiTheme="minorHAnsi" w:cstheme="minorHAnsi"/>
          <w:sz w:val="22"/>
        </w:rPr>
        <w:t>Pages 1397-1402</w:t>
      </w:r>
      <w:r>
        <w:rPr>
          <w:rFonts w:asciiTheme="minorHAnsi" w:hAnsiTheme="minorHAnsi" w:cstheme="minorHAnsi"/>
          <w:sz w:val="22"/>
        </w:rPr>
        <w:t xml:space="preserve">.  </w:t>
      </w:r>
      <w:hyperlink r:id="rId7" w:history="1">
        <w:r w:rsidRPr="00E66199">
          <w:rPr>
            <w:rStyle w:val="Hyperlink"/>
            <w:rFonts w:asciiTheme="minorHAnsi" w:hAnsiTheme="minorHAnsi" w:cstheme="minorHAnsi"/>
            <w:sz w:val="22"/>
          </w:rPr>
          <w:t>https://doi.org/10.1016/j.ajic.2024.07.019</w:t>
        </w:r>
      </w:hyperlink>
      <w:r w:rsidRPr="005844E9">
        <w:rPr>
          <w:rFonts w:asciiTheme="minorHAnsi" w:hAnsiTheme="minorHAnsi" w:cstheme="minorHAnsi"/>
          <w:sz w:val="22"/>
        </w:rPr>
        <w:t>.</w:t>
      </w:r>
    </w:p>
    <w:p w14:paraId="2C965FCF" w14:textId="77777777" w:rsidR="005844E9" w:rsidRPr="00B37587" w:rsidRDefault="005844E9" w:rsidP="005844E9">
      <w:pPr>
        <w:spacing w:line="240" w:lineRule="auto"/>
        <w:rPr>
          <w:rFonts w:asciiTheme="minorHAnsi" w:hAnsiTheme="minorHAnsi" w:cstheme="minorHAnsi"/>
          <w:sz w:val="22"/>
        </w:rPr>
      </w:pPr>
    </w:p>
    <w:p w14:paraId="483A8520" w14:textId="69D89DCB" w:rsidR="003C6718" w:rsidRPr="00B37587" w:rsidRDefault="003C6718" w:rsidP="00660F60">
      <w:pPr>
        <w:spacing w:line="240" w:lineRule="auto"/>
        <w:jc w:val="both"/>
        <w:rPr>
          <w:rFonts w:asciiTheme="minorHAnsi" w:hAnsiTheme="minorHAnsi" w:cstheme="minorHAnsi"/>
          <w:sz w:val="22"/>
        </w:rPr>
      </w:pPr>
      <w:r w:rsidRPr="00B37587">
        <w:rPr>
          <w:rFonts w:asciiTheme="minorHAnsi" w:hAnsiTheme="minorHAnsi" w:cstheme="minorHAnsi"/>
          <w:b/>
          <w:bCs/>
          <w:sz w:val="22"/>
        </w:rPr>
        <w:t>Acknowledgements</w:t>
      </w:r>
    </w:p>
    <w:p w14:paraId="5F68DEF5" w14:textId="07F533F4" w:rsidR="009821E1" w:rsidRPr="00B37587" w:rsidRDefault="009821E1" w:rsidP="009B52E6">
      <w:pPr>
        <w:spacing w:line="240" w:lineRule="auto"/>
        <w:jc w:val="both"/>
        <w:rPr>
          <w:rFonts w:asciiTheme="minorHAnsi" w:hAnsiTheme="minorHAnsi" w:cstheme="minorHAnsi"/>
          <w:sz w:val="22"/>
        </w:rPr>
      </w:pPr>
    </w:p>
    <w:p w14:paraId="2074A07E" w14:textId="77777777" w:rsidR="00280EFD" w:rsidRDefault="004136DC" w:rsidP="00280EFD">
      <w:pPr>
        <w:pStyle w:val="NoSpacing"/>
      </w:pPr>
      <w:r w:rsidRPr="00B37587">
        <w:rPr>
          <w:rFonts w:cstheme="minorHAnsi"/>
        </w:rPr>
        <w:t>This work was supported by the Centers for Disease Control and Prevention</w:t>
      </w:r>
      <w:r w:rsidR="0016579B" w:rsidRPr="00B37587">
        <w:rPr>
          <w:rFonts w:cstheme="minorHAnsi"/>
        </w:rPr>
        <w:t xml:space="preserve">. </w:t>
      </w:r>
      <w:r w:rsidR="00074B37" w:rsidRPr="00074B37">
        <w:rPr>
          <w:rFonts w:cstheme="minorHAnsi"/>
        </w:rPr>
        <w:t>The findings and conclusions in this report are those of the authors and do not necessarily represent the official position of the National Institute for Occupational Safety and Health (NIOSH), US Centers for Disease Control and Prevention (CDC). Mention of any company or product does not constitute endorsement by NIOSH or CDC.</w:t>
      </w:r>
      <w:r w:rsidR="00074B37">
        <w:rPr>
          <w:rFonts w:cstheme="minorHAnsi"/>
        </w:rPr>
        <w:t xml:space="preserve"> </w:t>
      </w:r>
      <w:r w:rsidR="00280EFD" w:rsidRPr="00F5005B">
        <w:t>N95</w:t>
      </w:r>
      <w:r w:rsidR="00280EFD" w:rsidRPr="00F204B6">
        <w:rPr>
          <w:rFonts w:cs="Times New Roman"/>
          <w:vertAlign w:val="superscript"/>
        </w:rPr>
        <w:t>®</w:t>
      </w:r>
      <w:r w:rsidR="00280EFD" w:rsidRPr="00F5005B">
        <w:t xml:space="preserve"> is a certification mark of the U.S. Department of Health and Human Services (HHS) registered in the United States and several international jurisdictions.</w:t>
      </w:r>
      <w:r w:rsidR="00280EFD">
        <w:t xml:space="preserve"> </w:t>
      </w:r>
    </w:p>
    <w:p w14:paraId="64D6B982" w14:textId="353DC74F" w:rsidR="004136DC" w:rsidRPr="00B37587" w:rsidRDefault="004136DC" w:rsidP="009B52E6">
      <w:pPr>
        <w:spacing w:line="240" w:lineRule="auto"/>
        <w:jc w:val="both"/>
        <w:rPr>
          <w:rFonts w:asciiTheme="minorHAnsi" w:hAnsiTheme="minorHAnsi" w:cstheme="minorHAnsi"/>
          <w:sz w:val="22"/>
        </w:rPr>
      </w:pPr>
    </w:p>
    <w:p w14:paraId="7D2DF91F" w14:textId="77777777" w:rsidR="004136DC" w:rsidRPr="00B37587" w:rsidRDefault="004136DC" w:rsidP="009B52E6">
      <w:pPr>
        <w:spacing w:line="240" w:lineRule="auto"/>
        <w:jc w:val="both"/>
        <w:rPr>
          <w:rFonts w:asciiTheme="minorHAnsi" w:hAnsiTheme="minorHAnsi" w:cstheme="minorHAnsi"/>
          <w:sz w:val="22"/>
        </w:rPr>
      </w:pPr>
    </w:p>
    <w:p w14:paraId="2D3FC422" w14:textId="33BE21F3" w:rsidR="007E041A" w:rsidRPr="00B37587" w:rsidRDefault="007E041A" w:rsidP="009B52E6">
      <w:pPr>
        <w:spacing w:line="240" w:lineRule="auto"/>
        <w:jc w:val="both"/>
        <w:rPr>
          <w:rFonts w:asciiTheme="minorHAnsi" w:hAnsiTheme="minorHAnsi" w:cstheme="minorHAnsi"/>
          <w:b/>
          <w:bCs/>
          <w:sz w:val="22"/>
        </w:rPr>
      </w:pPr>
      <w:r w:rsidRPr="00B37587">
        <w:rPr>
          <w:rFonts w:asciiTheme="minorHAnsi" w:hAnsiTheme="minorHAnsi" w:cstheme="minorHAnsi"/>
          <w:b/>
          <w:bCs/>
          <w:sz w:val="22"/>
        </w:rPr>
        <w:t xml:space="preserve">Authors </w:t>
      </w:r>
    </w:p>
    <w:p w14:paraId="3B0DF919" w14:textId="4F1C8877" w:rsidR="007E041A" w:rsidRPr="00B37587" w:rsidRDefault="007E041A" w:rsidP="009B52E6">
      <w:pPr>
        <w:spacing w:line="240" w:lineRule="auto"/>
        <w:jc w:val="both"/>
        <w:rPr>
          <w:rFonts w:asciiTheme="minorHAnsi" w:hAnsiTheme="minorHAnsi" w:cstheme="minorHAnsi"/>
          <w:sz w:val="22"/>
        </w:rPr>
      </w:pPr>
    </w:p>
    <w:tbl>
      <w:tblPr>
        <w:tblStyle w:val="TableGrid1"/>
        <w:tblW w:w="0" w:type="auto"/>
        <w:tblLook w:val="01E0" w:firstRow="1" w:lastRow="1" w:firstColumn="1" w:lastColumn="1" w:noHBand="0" w:noVBand="0"/>
      </w:tblPr>
      <w:tblGrid>
        <w:gridCol w:w="2193"/>
        <w:gridCol w:w="1549"/>
      </w:tblGrid>
      <w:tr w:rsidR="00DB4435" w:rsidRPr="00B37587" w14:paraId="5CFB41D8" w14:textId="77777777" w:rsidTr="004A3153">
        <w:trPr>
          <w:cantSplit/>
        </w:trPr>
        <w:tc>
          <w:tcPr>
            <w:tcW w:w="0" w:type="auto"/>
          </w:tcPr>
          <w:p w14:paraId="5AD7715E" w14:textId="77777777" w:rsidR="00DB4435" w:rsidRPr="00B37587" w:rsidRDefault="00DB4435" w:rsidP="004A3153">
            <w:pPr>
              <w:rPr>
                <w:rFonts w:asciiTheme="minorHAnsi" w:hAnsiTheme="minorHAnsi" w:cstheme="minorHAnsi"/>
                <w:i/>
                <w:sz w:val="22"/>
                <w:szCs w:val="22"/>
              </w:rPr>
            </w:pPr>
            <w:r w:rsidRPr="00B37587">
              <w:rPr>
                <w:rFonts w:asciiTheme="minorHAnsi" w:hAnsiTheme="minorHAnsi" w:cstheme="minorHAnsi"/>
                <w:i/>
                <w:sz w:val="22"/>
                <w:szCs w:val="22"/>
              </w:rPr>
              <w:t>Name</w:t>
            </w:r>
          </w:p>
        </w:tc>
        <w:tc>
          <w:tcPr>
            <w:tcW w:w="0" w:type="auto"/>
          </w:tcPr>
          <w:p w14:paraId="2349B040" w14:textId="77777777" w:rsidR="00DB4435" w:rsidRPr="00B37587" w:rsidRDefault="00DB4435" w:rsidP="004A3153">
            <w:pPr>
              <w:rPr>
                <w:rFonts w:asciiTheme="minorHAnsi" w:hAnsiTheme="minorHAnsi" w:cstheme="minorHAnsi"/>
                <w:i/>
                <w:sz w:val="22"/>
                <w:szCs w:val="22"/>
              </w:rPr>
            </w:pPr>
            <w:r w:rsidRPr="00B37587">
              <w:rPr>
                <w:rFonts w:asciiTheme="minorHAnsi" w:hAnsiTheme="minorHAnsi" w:cstheme="minorHAnsi"/>
                <w:i/>
                <w:sz w:val="22"/>
                <w:szCs w:val="22"/>
              </w:rPr>
              <w:t>Email</w:t>
            </w:r>
          </w:p>
        </w:tc>
      </w:tr>
      <w:tr w:rsidR="00DB4435" w:rsidRPr="00B37587" w14:paraId="4E4C20B9" w14:textId="77777777" w:rsidTr="004A3153">
        <w:trPr>
          <w:cantSplit/>
        </w:trPr>
        <w:tc>
          <w:tcPr>
            <w:tcW w:w="0" w:type="auto"/>
          </w:tcPr>
          <w:p w14:paraId="712B8DBB" w14:textId="285EE62C" w:rsidR="00DB4435" w:rsidRPr="00B37587" w:rsidRDefault="00DB4435" w:rsidP="003D5870">
            <w:pPr>
              <w:rPr>
                <w:rFonts w:asciiTheme="minorHAnsi" w:hAnsiTheme="minorHAnsi" w:cstheme="minorHAnsi"/>
                <w:sz w:val="22"/>
              </w:rPr>
            </w:pPr>
            <w:r w:rsidRPr="00B37587">
              <w:rPr>
                <w:rFonts w:asciiTheme="minorHAnsi" w:hAnsiTheme="minorHAnsi" w:cstheme="minorHAnsi"/>
                <w:sz w:val="22"/>
                <w:szCs w:val="22"/>
              </w:rPr>
              <w:t>William G. Lindsley</w:t>
            </w:r>
          </w:p>
        </w:tc>
        <w:tc>
          <w:tcPr>
            <w:tcW w:w="0" w:type="auto"/>
          </w:tcPr>
          <w:p w14:paraId="4413FFE1" w14:textId="2C456203" w:rsidR="00DB4435" w:rsidRPr="00B37587" w:rsidRDefault="00DB4435" w:rsidP="003D5870">
            <w:pPr>
              <w:rPr>
                <w:rFonts w:asciiTheme="minorHAnsi" w:hAnsiTheme="minorHAnsi" w:cstheme="minorHAnsi"/>
                <w:sz w:val="22"/>
              </w:rPr>
            </w:pPr>
            <w:r w:rsidRPr="00B37587">
              <w:rPr>
                <w:rFonts w:asciiTheme="minorHAnsi" w:hAnsiTheme="minorHAnsi" w:cstheme="minorHAnsi"/>
                <w:sz w:val="22"/>
                <w:szCs w:val="22"/>
              </w:rPr>
              <w:t>wdl7@cdc.gov</w:t>
            </w:r>
          </w:p>
        </w:tc>
      </w:tr>
      <w:tr w:rsidR="00DB4435" w:rsidRPr="00B37587" w14:paraId="15B3D6BF" w14:textId="77777777" w:rsidTr="004A3153">
        <w:trPr>
          <w:cantSplit/>
        </w:trPr>
        <w:tc>
          <w:tcPr>
            <w:tcW w:w="0" w:type="auto"/>
          </w:tcPr>
          <w:p w14:paraId="599025B5" w14:textId="09540FD5" w:rsidR="00DB4435" w:rsidRPr="00B37587" w:rsidRDefault="00DB4435" w:rsidP="003D5870">
            <w:pPr>
              <w:rPr>
                <w:rFonts w:asciiTheme="minorHAnsi" w:hAnsiTheme="minorHAnsi" w:cstheme="minorHAnsi"/>
                <w:sz w:val="22"/>
              </w:rPr>
            </w:pPr>
            <w:r w:rsidRPr="00B37587">
              <w:rPr>
                <w:rFonts w:asciiTheme="minorHAnsi" w:hAnsiTheme="minorHAnsi" w:cstheme="minorHAnsi"/>
                <w:sz w:val="22"/>
                <w:szCs w:val="22"/>
              </w:rPr>
              <w:t>Francoise M. Blachere</w:t>
            </w:r>
          </w:p>
        </w:tc>
        <w:tc>
          <w:tcPr>
            <w:tcW w:w="0" w:type="auto"/>
          </w:tcPr>
          <w:p w14:paraId="42BADCC2" w14:textId="2FCC8EFF" w:rsidR="00DB4435" w:rsidRPr="00B37587" w:rsidRDefault="00DB4435" w:rsidP="003D5870">
            <w:pPr>
              <w:rPr>
                <w:rFonts w:asciiTheme="minorHAnsi" w:hAnsiTheme="minorHAnsi" w:cstheme="minorHAnsi"/>
                <w:sz w:val="22"/>
              </w:rPr>
            </w:pPr>
            <w:r w:rsidRPr="00B37587">
              <w:rPr>
                <w:rFonts w:asciiTheme="minorHAnsi" w:hAnsiTheme="minorHAnsi" w:cstheme="minorHAnsi"/>
                <w:sz w:val="22"/>
                <w:szCs w:val="22"/>
              </w:rPr>
              <w:t>czv3@cdc.gov</w:t>
            </w:r>
          </w:p>
        </w:tc>
      </w:tr>
      <w:tr w:rsidR="00DB4435" w:rsidRPr="00B37587" w14:paraId="739ED513" w14:textId="77777777" w:rsidTr="004A3153">
        <w:trPr>
          <w:cantSplit/>
        </w:trPr>
        <w:tc>
          <w:tcPr>
            <w:tcW w:w="0" w:type="auto"/>
          </w:tcPr>
          <w:p w14:paraId="2F420FD1" w14:textId="0D05D2B8" w:rsidR="00DB4435" w:rsidRPr="00B37587" w:rsidRDefault="00DB4435" w:rsidP="003D5870">
            <w:pPr>
              <w:rPr>
                <w:rFonts w:asciiTheme="minorHAnsi" w:hAnsiTheme="minorHAnsi" w:cstheme="minorHAnsi"/>
                <w:sz w:val="22"/>
              </w:rPr>
            </w:pPr>
            <w:r w:rsidRPr="00B37587">
              <w:rPr>
                <w:rFonts w:asciiTheme="minorHAnsi" w:hAnsiTheme="minorHAnsi" w:cstheme="minorHAnsi"/>
                <w:sz w:val="22"/>
                <w:szCs w:val="22"/>
              </w:rPr>
              <w:t>Raymond C. Derk</w:t>
            </w:r>
          </w:p>
        </w:tc>
        <w:tc>
          <w:tcPr>
            <w:tcW w:w="0" w:type="auto"/>
          </w:tcPr>
          <w:p w14:paraId="153028ED" w14:textId="25309D2E" w:rsidR="00DB4435" w:rsidRPr="00B37587" w:rsidRDefault="00DB4435" w:rsidP="003D5870">
            <w:pPr>
              <w:rPr>
                <w:rFonts w:asciiTheme="minorHAnsi" w:hAnsiTheme="minorHAnsi" w:cstheme="minorHAnsi"/>
                <w:sz w:val="22"/>
              </w:rPr>
            </w:pPr>
            <w:r w:rsidRPr="00B37587">
              <w:rPr>
                <w:rFonts w:asciiTheme="minorHAnsi" w:hAnsiTheme="minorHAnsi" w:cstheme="minorHAnsi"/>
                <w:sz w:val="22"/>
                <w:szCs w:val="22"/>
              </w:rPr>
              <w:t>rhd8@cdc.gov</w:t>
            </w:r>
          </w:p>
        </w:tc>
      </w:tr>
      <w:tr w:rsidR="00DB4435" w:rsidRPr="00B37587" w14:paraId="447AB781" w14:textId="77777777" w:rsidTr="004A3153">
        <w:trPr>
          <w:cantSplit/>
        </w:trPr>
        <w:tc>
          <w:tcPr>
            <w:tcW w:w="0" w:type="auto"/>
          </w:tcPr>
          <w:p w14:paraId="2F6136F6" w14:textId="7CE81581" w:rsidR="00DB4435" w:rsidRPr="00B37587" w:rsidRDefault="00280EFD" w:rsidP="003D5870">
            <w:pPr>
              <w:rPr>
                <w:rFonts w:asciiTheme="minorHAnsi" w:hAnsiTheme="minorHAnsi" w:cstheme="minorHAnsi"/>
                <w:sz w:val="22"/>
              </w:rPr>
            </w:pPr>
            <w:r w:rsidRPr="00280EFD">
              <w:rPr>
                <w:rFonts w:asciiTheme="minorHAnsi" w:hAnsiTheme="minorHAnsi" w:cstheme="minorHAnsi"/>
                <w:sz w:val="22"/>
              </w:rPr>
              <w:t>Anna Mnatsakanova</w:t>
            </w:r>
          </w:p>
        </w:tc>
        <w:tc>
          <w:tcPr>
            <w:tcW w:w="0" w:type="auto"/>
          </w:tcPr>
          <w:p w14:paraId="1AAB9B8A" w14:textId="3DED23FE" w:rsidR="00DB4435" w:rsidRPr="00B37587" w:rsidRDefault="00280EFD" w:rsidP="003D5870">
            <w:pPr>
              <w:rPr>
                <w:rFonts w:asciiTheme="minorHAnsi" w:hAnsiTheme="minorHAnsi" w:cstheme="minorHAnsi"/>
                <w:sz w:val="22"/>
              </w:rPr>
            </w:pPr>
            <w:r>
              <w:rPr>
                <w:rFonts w:asciiTheme="minorHAnsi" w:hAnsiTheme="minorHAnsi" w:cstheme="minorHAnsi"/>
                <w:sz w:val="22"/>
                <w:szCs w:val="22"/>
              </w:rPr>
              <w:t>fma8</w:t>
            </w:r>
            <w:r w:rsidR="00DB4435" w:rsidRPr="00B37587">
              <w:rPr>
                <w:rFonts w:asciiTheme="minorHAnsi" w:hAnsiTheme="minorHAnsi" w:cstheme="minorHAnsi"/>
                <w:sz w:val="22"/>
                <w:szCs w:val="22"/>
              </w:rPr>
              <w:t>@cdc.gov</w:t>
            </w:r>
          </w:p>
        </w:tc>
      </w:tr>
      <w:tr w:rsidR="00DB4435" w:rsidRPr="00B37587" w14:paraId="566DBA22" w14:textId="77777777" w:rsidTr="004A3153">
        <w:trPr>
          <w:cantSplit/>
        </w:trPr>
        <w:tc>
          <w:tcPr>
            <w:tcW w:w="0" w:type="auto"/>
          </w:tcPr>
          <w:p w14:paraId="57B707E0" w14:textId="603F192B" w:rsidR="00DB4435" w:rsidRPr="00B37587" w:rsidRDefault="00DB4435" w:rsidP="002A06BE">
            <w:pPr>
              <w:rPr>
                <w:rFonts w:asciiTheme="minorHAnsi" w:hAnsiTheme="minorHAnsi" w:cstheme="minorHAnsi"/>
                <w:sz w:val="22"/>
              </w:rPr>
            </w:pPr>
            <w:r w:rsidRPr="00B37587">
              <w:rPr>
                <w:rFonts w:asciiTheme="minorHAnsi" w:hAnsiTheme="minorHAnsi" w:cstheme="minorHAnsi"/>
                <w:sz w:val="22"/>
                <w:szCs w:val="22"/>
              </w:rPr>
              <w:t>John D. Noti</w:t>
            </w:r>
          </w:p>
        </w:tc>
        <w:tc>
          <w:tcPr>
            <w:tcW w:w="0" w:type="auto"/>
          </w:tcPr>
          <w:p w14:paraId="1AB2BF9D" w14:textId="1CA6FC04" w:rsidR="00DB4435" w:rsidRPr="00B37587" w:rsidRDefault="00DB4435" w:rsidP="002A06BE">
            <w:pPr>
              <w:rPr>
                <w:rFonts w:asciiTheme="minorHAnsi" w:hAnsiTheme="minorHAnsi" w:cstheme="minorHAnsi"/>
                <w:sz w:val="22"/>
              </w:rPr>
            </w:pPr>
            <w:r w:rsidRPr="00B37587">
              <w:rPr>
                <w:rFonts w:asciiTheme="minorHAnsi" w:hAnsiTheme="minorHAnsi" w:cstheme="minorHAnsi"/>
                <w:sz w:val="22"/>
                <w:szCs w:val="22"/>
              </w:rPr>
              <w:t>ivr2@cdc.gov</w:t>
            </w:r>
          </w:p>
        </w:tc>
      </w:tr>
    </w:tbl>
    <w:p w14:paraId="14AC2CA7" w14:textId="77777777" w:rsidR="007E041A" w:rsidRPr="00B37587" w:rsidRDefault="007E041A" w:rsidP="009B52E6">
      <w:pPr>
        <w:spacing w:line="240" w:lineRule="auto"/>
        <w:jc w:val="both"/>
        <w:rPr>
          <w:rFonts w:asciiTheme="minorHAnsi" w:hAnsiTheme="minorHAnsi" w:cstheme="minorHAnsi"/>
          <w:sz w:val="22"/>
        </w:rPr>
      </w:pPr>
    </w:p>
    <w:p w14:paraId="1573F71B" w14:textId="362A5E79" w:rsidR="003C6718" w:rsidRPr="00B37587" w:rsidRDefault="003C6718" w:rsidP="009B52E6">
      <w:pPr>
        <w:spacing w:line="240" w:lineRule="auto"/>
        <w:jc w:val="both"/>
        <w:rPr>
          <w:rFonts w:asciiTheme="minorHAnsi" w:hAnsiTheme="minorHAnsi" w:cstheme="minorHAnsi"/>
          <w:b/>
          <w:bCs/>
          <w:sz w:val="22"/>
        </w:rPr>
      </w:pPr>
      <w:r w:rsidRPr="00B37587">
        <w:rPr>
          <w:rFonts w:asciiTheme="minorHAnsi" w:hAnsiTheme="minorHAnsi" w:cstheme="minorHAnsi"/>
          <w:b/>
          <w:bCs/>
          <w:sz w:val="22"/>
        </w:rPr>
        <w:t>Contact</w:t>
      </w:r>
    </w:p>
    <w:p w14:paraId="7E9E04F0" w14:textId="77777777" w:rsidR="00FC61C4" w:rsidRPr="00B37587" w:rsidRDefault="00FC61C4" w:rsidP="00FC61C4">
      <w:pPr>
        <w:spacing w:line="240" w:lineRule="auto"/>
        <w:ind w:left="360"/>
        <w:jc w:val="both"/>
        <w:rPr>
          <w:rFonts w:asciiTheme="minorHAnsi" w:hAnsiTheme="minorHAnsi" w:cstheme="minorHAnsi"/>
          <w:sz w:val="22"/>
        </w:rPr>
      </w:pPr>
      <w:r w:rsidRPr="00B37587">
        <w:rPr>
          <w:rFonts w:asciiTheme="minorHAnsi" w:hAnsiTheme="minorHAnsi" w:cstheme="minorHAnsi"/>
          <w:sz w:val="22"/>
        </w:rPr>
        <w:t>For further information contact:</w:t>
      </w:r>
    </w:p>
    <w:p w14:paraId="0F305C8F" w14:textId="77777777" w:rsidR="00FC61C4" w:rsidRPr="00B37587" w:rsidRDefault="00FC61C4" w:rsidP="00FC61C4">
      <w:pPr>
        <w:spacing w:line="240" w:lineRule="auto"/>
        <w:ind w:left="360"/>
        <w:jc w:val="both"/>
        <w:rPr>
          <w:rFonts w:asciiTheme="minorHAnsi" w:hAnsiTheme="minorHAnsi" w:cstheme="minorHAnsi"/>
          <w:sz w:val="22"/>
        </w:rPr>
      </w:pPr>
      <w:r w:rsidRPr="00B37587">
        <w:rPr>
          <w:rFonts w:asciiTheme="minorHAnsi" w:hAnsiTheme="minorHAnsi" w:cstheme="minorHAnsi"/>
          <w:sz w:val="22"/>
        </w:rPr>
        <w:t>Allergy and Clinical Immunology Branch (ACIB),</w:t>
      </w:r>
    </w:p>
    <w:p w14:paraId="4D5B86AE" w14:textId="77777777" w:rsidR="00FC61C4" w:rsidRPr="00B37587" w:rsidRDefault="00FC61C4" w:rsidP="00FC61C4">
      <w:pPr>
        <w:spacing w:line="240" w:lineRule="auto"/>
        <w:ind w:left="360"/>
        <w:jc w:val="both"/>
        <w:rPr>
          <w:rFonts w:asciiTheme="minorHAnsi" w:hAnsiTheme="minorHAnsi" w:cstheme="minorHAnsi"/>
          <w:sz w:val="22"/>
        </w:rPr>
      </w:pPr>
      <w:r w:rsidRPr="00B37587">
        <w:rPr>
          <w:rFonts w:asciiTheme="minorHAnsi" w:hAnsiTheme="minorHAnsi" w:cstheme="minorHAnsi"/>
          <w:sz w:val="22"/>
        </w:rPr>
        <w:t>Health Effects Laboratory Division (HELD),</w:t>
      </w:r>
    </w:p>
    <w:p w14:paraId="4B4AABE9" w14:textId="77777777" w:rsidR="00FC61C4" w:rsidRPr="00B37587" w:rsidRDefault="00FC61C4" w:rsidP="00FC61C4">
      <w:pPr>
        <w:spacing w:line="240" w:lineRule="auto"/>
        <w:ind w:left="360"/>
        <w:jc w:val="both"/>
        <w:rPr>
          <w:rFonts w:asciiTheme="minorHAnsi" w:hAnsiTheme="minorHAnsi" w:cstheme="minorHAnsi"/>
          <w:sz w:val="22"/>
        </w:rPr>
      </w:pPr>
      <w:r w:rsidRPr="00B37587">
        <w:rPr>
          <w:rFonts w:asciiTheme="minorHAnsi" w:hAnsiTheme="minorHAnsi" w:cstheme="minorHAnsi"/>
          <w:sz w:val="22"/>
        </w:rPr>
        <w:t>National Institute for Occupational Safety and Health (NIOSH),</w:t>
      </w:r>
    </w:p>
    <w:p w14:paraId="2B568F8A" w14:textId="5B9EC7DA" w:rsidR="003C6718" w:rsidRDefault="00FC61C4" w:rsidP="00FC61C4">
      <w:pPr>
        <w:spacing w:line="240" w:lineRule="auto"/>
        <w:ind w:left="360"/>
        <w:jc w:val="both"/>
        <w:rPr>
          <w:rFonts w:asciiTheme="minorHAnsi" w:hAnsiTheme="minorHAnsi" w:cstheme="minorHAnsi"/>
          <w:sz w:val="22"/>
        </w:rPr>
      </w:pPr>
      <w:r w:rsidRPr="00B37587">
        <w:rPr>
          <w:rFonts w:asciiTheme="minorHAnsi" w:hAnsiTheme="minorHAnsi" w:cstheme="minorHAnsi"/>
          <w:sz w:val="22"/>
        </w:rPr>
        <w:t>Morgantown, WV</w:t>
      </w:r>
    </w:p>
    <w:p w14:paraId="7565D38E" w14:textId="1D65765E" w:rsidR="008A4C80" w:rsidRPr="00B37587" w:rsidRDefault="008A4C80" w:rsidP="00FC61C4">
      <w:pPr>
        <w:spacing w:line="240" w:lineRule="auto"/>
        <w:ind w:left="360"/>
        <w:jc w:val="both"/>
        <w:rPr>
          <w:rFonts w:asciiTheme="minorHAnsi" w:hAnsiTheme="minorHAnsi" w:cstheme="minorHAnsi"/>
          <w:sz w:val="22"/>
        </w:rPr>
      </w:pPr>
      <w:r>
        <w:rPr>
          <w:rFonts w:asciiTheme="minorHAnsi" w:hAnsiTheme="minorHAnsi" w:cstheme="minorHAnsi"/>
          <w:sz w:val="22"/>
        </w:rPr>
        <w:t>304-285-6224</w:t>
      </w:r>
    </w:p>
    <w:sectPr w:rsidR="008A4C80" w:rsidRPr="00B3758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913C6A" w14:textId="77777777" w:rsidR="00284F7F" w:rsidRDefault="00284F7F" w:rsidP="00C63948">
      <w:pPr>
        <w:spacing w:line="240" w:lineRule="auto"/>
      </w:pPr>
      <w:r>
        <w:separator/>
      </w:r>
    </w:p>
  </w:endnote>
  <w:endnote w:type="continuationSeparator" w:id="0">
    <w:p w14:paraId="0BDB061F" w14:textId="77777777" w:rsidR="00284F7F" w:rsidRDefault="00284F7F" w:rsidP="00C6394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0C7E3E" w14:textId="77777777" w:rsidR="00284F7F" w:rsidRDefault="00284F7F" w:rsidP="00C63948">
      <w:pPr>
        <w:spacing w:line="240" w:lineRule="auto"/>
      </w:pPr>
      <w:r>
        <w:separator/>
      </w:r>
    </w:p>
  </w:footnote>
  <w:footnote w:type="continuationSeparator" w:id="0">
    <w:p w14:paraId="3ECD58D6" w14:textId="77777777" w:rsidR="00284F7F" w:rsidRDefault="00284F7F" w:rsidP="00C63948">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5A4F27"/>
    <w:multiLevelType w:val="hybridMultilevel"/>
    <w:tmpl w:val="2BC2020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6BC5D04"/>
    <w:multiLevelType w:val="hybridMultilevel"/>
    <w:tmpl w:val="62A84BBA"/>
    <w:lvl w:ilvl="0" w:tplc="C67E6B8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61632598">
    <w:abstractNumId w:val="1"/>
  </w:num>
  <w:num w:numId="2" w16cid:durableId="1883004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20"/>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3948"/>
    <w:rsid w:val="000310D6"/>
    <w:rsid w:val="00032162"/>
    <w:rsid w:val="0003725A"/>
    <w:rsid w:val="00074B37"/>
    <w:rsid w:val="00086B5F"/>
    <w:rsid w:val="000A458E"/>
    <w:rsid w:val="000C2750"/>
    <w:rsid w:val="000E0DF7"/>
    <w:rsid w:val="00100689"/>
    <w:rsid w:val="00111BB1"/>
    <w:rsid w:val="0014212E"/>
    <w:rsid w:val="00153F48"/>
    <w:rsid w:val="0016579B"/>
    <w:rsid w:val="00177D88"/>
    <w:rsid w:val="001814F9"/>
    <w:rsid w:val="00195BA7"/>
    <w:rsid w:val="00196C5A"/>
    <w:rsid w:val="001B7BDD"/>
    <w:rsid w:val="002218E4"/>
    <w:rsid w:val="00280EFD"/>
    <w:rsid w:val="00284F7F"/>
    <w:rsid w:val="002A06BE"/>
    <w:rsid w:val="002C70AB"/>
    <w:rsid w:val="002C7F30"/>
    <w:rsid w:val="002D23EA"/>
    <w:rsid w:val="002F79E2"/>
    <w:rsid w:val="003130A4"/>
    <w:rsid w:val="00370CF9"/>
    <w:rsid w:val="00376998"/>
    <w:rsid w:val="00377FF2"/>
    <w:rsid w:val="003B25C4"/>
    <w:rsid w:val="003C6718"/>
    <w:rsid w:val="003C6FF6"/>
    <w:rsid w:val="003C740A"/>
    <w:rsid w:val="003C79D5"/>
    <w:rsid w:val="003D5870"/>
    <w:rsid w:val="003E20B2"/>
    <w:rsid w:val="004136DC"/>
    <w:rsid w:val="00416EA1"/>
    <w:rsid w:val="004702CC"/>
    <w:rsid w:val="004829DF"/>
    <w:rsid w:val="004915BF"/>
    <w:rsid w:val="0049705A"/>
    <w:rsid w:val="004B1B7C"/>
    <w:rsid w:val="004B7C9E"/>
    <w:rsid w:val="004D6FCB"/>
    <w:rsid w:val="00553E4C"/>
    <w:rsid w:val="00575C65"/>
    <w:rsid w:val="00583631"/>
    <w:rsid w:val="005844E9"/>
    <w:rsid w:val="005A6CB9"/>
    <w:rsid w:val="005B3636"/>
    <w:rsid w:val="005C35E1"/>
    <w:rsid w:val="005F6BEE"/>
    <w:rsid w:val="00655CEE"/>
    <w:rsid w:val="00660F60"/>
    <w:rsid w:val="00677519"/>
    <w:rsid w:val="00690AC0"/>
    <w:rsid w:val="006B070A"/>
    <w:rsid w:val="006F279B"/>
    <w:rsid w:val="006F64CD"/>
    <w:rsid w:val="00706426"/>
    <w:rsid w:val="00710C1B"/>
    <w:rsid w:val="007112D1"/>
    <w:rsid w:val="007123CF"/>
    <w:rsid w:val="00723144"/>
    <w:rsid w:val="00741B72"/>
    <w:rsid w:val="00752979"/>
    <w:rsid w:val="0075509D"/>
    <w:rsid w:val="00777A2A"/>
    <w:rsid w:val="007A3979"/>
    <w:rsid w:val="007A69DA"/>
    <w:rsid w:val="007E041A"/>
    <w:rsid w:val="00803AF1"/>
    <w:rsid w:val="00813174"/>
    <w:rsid w:val="00843DBC"/>
    <w:rsid w:val="00844EB8"/>
    <w:rsid w:val="008A4C80"/>
    <w:rsid w:val="008C4ED5"/>
    <w:rsid w:val="00900712"/>
    <w:rsid w:val="00904BA5"/>
    <w:rsid w:val="00907FA0"/>
    <w:rsid w:val="00916F7F"/>
    <w:rsid w:val="009821E1"/>
    <w:rsid w:val="009B52E6"/>
    <w:rsid w:val="009D3A46"/>
    <w:rsid w:val="009D50DA"/>
    <w:rsid w:val="009E0901"/>
    <w:rsid w:val="009E0AD5"/>
    <w:rsid w:val="00A05EBD"/>
    <w:rsid w:val="00A55B90"/>
    <w:rsid w:val="00A67A07"/>
    <w:rsid w:val="00A71580"/>
    <w:rsid w:val="00A929CE"/>
    <w:rsid w:val="00AC2EF2"/>
    <w:rsid w:val="00B00555"/>
    <w:rsid w:val="00B26F71"/>
    <w:rsid w:val="00B36904"/>
    <w:rsid w:val="00B37587"/>
    <w:rsid w:val="00B820ED"/>
    <w:rsid w:val="00BA0FAE"/>
    <w:rsid w:val="00BA7CDB"/>
    <w:rsid w:val="00BC14A2"/>
    <w:rsid w:val="00BD37AC"/>
    <w:rsid w:val="00BD4701"/>
    <w:rsid w:val="00BE5C37"/>
    <w:rsid w:val="00BF08D6"/>
    <w:rsid w:val="00BF302F"/>
    <w:rsid w:val="00BF4F6E"/>
    <w:rsid w:val="00C63948"/>
    <w:rsid w:val="00CB499E"/>
    <w:rsid w:val="00D15152"/>
    <w:rsid w:val="00D23568"/>
    <w:rsid w:val="00D93829"/>
    <w:rsid w:val="00DB4435"/>
    <w:rsid w:val="00DF7EB2"/>
    <w:rsid w:val="00E7313D"/>
    <w:rsid w:val="00E87949"/>
    <w:rsid w:val="00E907F1"/>
    <w:rsid w:val="00E91B20"/>
    <w:rsid w:val="00E96790"/>
    <w:rsid w:val="00EA3F8C"/>
    <w:rsid w:val="00EA49E9"/>
    <w:rsid w:val="00EB496C"/>
    <w:rsid w:val="00EC68C5"/>
    <w:rsid w:val="00EE111A"/>
    <w:rsid w:val="00EE5486"/>
    <w:rsid w:val="00EE7701"/>
    <w:rsid w:val="00EF1CFE"/>
    <w:rsid w:val="00EF664F"/>
    <w:rsid w:val="00F63CE8"/>
    <w:rsid w:val="00F642D4"/>
    <w:rsid w:val="00F90994"/>
    <w:rsid w:val="00FA3056"/>
    <w:rsid w:val="00FC61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357D0119"/>
  <w15:chartTrackingRefBased/>
  <w15:docId w15:val="{945CB4BE-560F-42B2-9EFF-742F2D25AA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280EFD"/>
    <w:pPr>
      <w:keepNext/>
      <w:keepLines/>
      <w:spacing w:before="40" w:line="360" w:lineRule="auto"/>
      <w:ind w:firstLine="720"/>
      <w:outlineLvl w:val="1"/>
    </w:pPr>
    <w:rPr>
      <w:rFonts w:asciiTheme="majorHAnsi" w:eastAsiaTheme="majorEastAsia" w:hAnsiTheme="majorHAnsi" w:cstheme="majorBidi"/>
      <w:color w:val="2F5496" w:themeColor="accent1" w:themeShade="BF"/>
      <w:kern w:val="2"/>
      <w:sz w:val="26"/>
      <w:szCs w:val="26"/>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79D5"/>
    <w:pPr>
      <w:spacing w:after="160"/>
      <w:ind w:left="720"/>
      <w:contextualSpacing/>
    </w:pPr>
    <w:rPr>
      <w:rFonts w:asciiTheme="minorHAnsi" w:hAnsiTheme="minorHAnsi"/>
      <w:sz w:val="22"/>
    </w:rPr>
  </w:style>
  <w:style w:type="paragraph" w:styleId="BalloonText">
    <w:name w:val="Balloon Text"/>
    <w:basedOn w:val="Normal"/>
    <w:link w:val="BalloonTextChar"/>
    <w:uiPriority w:val="99"/>
    <w:semiHidden/>
    <w:unhideWhenUsed/>
    <w:rsid w:val="00196C5A"/>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6C5A"/>
    <w:rPr>
      <w:rFonts w:ascii="Segoe UI" w:hAnsi="Segoe UI" w:cs="Segoe UI"/>
      <w:sz w:val="18"/>
      <w:szCs w:val="18"/>
    </w:rPr>
  </w:style>
  <w:style w:type="paragraph" w:styleId="NoSpacing">
    <w:name w:val="No Spacing"/>
    <w:uiPriority w:val="1"/>
    <w:qFormat/>
    <w:rsid w:val="003C6718"/>
    <w:pPr>
      <w:spacing w:line="240" w:lineRule="auto"/>
    </w:pPr>
    <w:rPr>
      <w:rFonts w:asciiTheme="minorHAnsi" w:hAnsiTheme="minorHAnsi"/>
      <w:sz w:val="22"/>
    </w:rPr>
  </w:style>
  <w:style w:type="table" w:customStyle="1" w:styleId="TableGrid1">
    <w:name w:val="Table Grid1"/>
    <w:basedOn w:val="TableNormal"/>
    <w:next w:val="TableGrid"/>
    <w:rsid w:val="007E041A"/>
    <w:pPr>
      <w:spacing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7E041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280EFD"/>
    <w:rPr>
      <w:rFonts w:asciiTheme="majorHAnsi" w:eastAsiaTheme="majorEastAsia" w:hAnsiTheme="majorHAnsi" w:cstheme="majorBidi"/>
      <w:color w:val="2F5496" w:themeColor="accent1" w:themeShade="BF"/>
      <w:kern w:val="2"/>
      <w:sz w:val="26"/>
      <w:szCs w:val="26"/>
      <w14:ligatures w14:val="standardContextual"/>
    </w:rPr>
  </w:style>
  <w:style w:type="character" w:styleId="Hyperlink">
    <w:name w:val="Hyperlink"/>
    <w:basedOn w:val="DefaultParagraphFont"/>
    <w:uiPriority w:val="99"/>
    <w:unhideWhenUsed/>
    <w:rsid w:val="005844E9"/>
    <w:rPr>
      <w:color w:val="0563C1" w:themeColor="hyperlink"/>
      <w:u w:val="single"/>
    </w:rPr>
  </w:style>
  <w:style w:type="character" w:styleId="UnresolvedMention">
    <w:name w:val="Unresolved Mention"/>
    <w:basedOn w:val="DefaultParagraphFont"/>
    <w:uiPriority w:val="99"/>
    <w:semiHidden/>
    <w:unhideWhenUsed/>
    <w:rsid w:val="005844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303764">
      <w:bodyDiv w:val="1"/>
      <w:marLeft w:val="0"/>
      <w:marRight w:val="0"/>
      <w:marTop w:val="0"/>
      <w:marBottom w:val="0"/>
      <w:divBdr>
        <w:top w:val="none" w:sz="0" w:space="0" w:color="auto"/>
        <w:left w:val="none" w:sz="0" w:space="0" w:color="auto"/>
        <w:bottom w:val="none" w:sz="0" w:space="0" w:color="auto"/>
        <w:right w:val="none" w:sz="0" w:space="0" w:color="auto"/>
      </w:divBdr>
    </w:div>
    <w:div w:id="700060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oi.org/10.1016/j.ajic.2024.07.01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606</Words>
  <Characters>3459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Coyle, Jayme (CDC/NIOSH/HELD/ACIB)</dc:creator>
  <cp:keywords/>
  <dc:description/>
  <cp:lastModifiedBy>Strahin, Jennifer (CDC/NIOSH/HELD)</cp:lastModifiedBy>
  <cp:revision>7</cp:revision>
  <dcterms:created xsi:type="dcterms:W3CDTF">2024-04-04T18:59:00Z</dcterms:created>
  <dcterms:modified xsi:type="dcterms:W3CDTF">2024-11-22T17:48:00Z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2021-06-10T16:47:19Z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fb8e1f3c-eddc-4586-bba2-36ee3e4218bb</vt:lpwstr>
  </property>
  <property fmtid="{D5CDD505-2E9C-101B-9397-08002B2CF9AE}" pid="8" name="MSIP_Label_7b94a7b8-f06c-4dfe-bdcc-9b548fd58c31_ContentBits">
    <vt:lpwstr>0</vt:lpwstr>
  </property>
</Properties>
</file>