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09DC1" w14:textId="68CED7E1" w:rsidR="00976865" w:rsidRPr="00976865" w:rsidRDefault="009A37B4" w:rsidP="00976865">
      <w:pPr>
        <w:spacing w:before="240"/>
        <w:rPr>
          <w:rFonts w:ascii="Segoe UI Semibold" w:hAnsi="Segoe UI Semibold" w:cs="Segoe UI Semibold"/>
          <w:b/>
          <w:sz w:val="24"/>
          <w:szCs w:val="24"/>
        </w:rPr>
      </w:pPr>
      <w:r>
        <w:rPr>
          <w:rFonts w:ascii="Segoe UI Semibold" w:hAnsi="Segoe UI Semibold" w:cs="Segoe UI Semibold"/>
          <w:b/>
          <w:sz w:val="24"/>
          <w:szCs w:val="24"/>
        </w:rPr>
        <w:t>Effects of inhaled tier-2 diesel engine exhaust on immunotoxicity in a rat model</w:t>
      </w:r>
      <w:r w:rsidR="007E79CA">
        <w:rPr>
          <w:rFonts w:ascii="Segoe UI Semibold" w:hAnsi="Segoe UI Semibold" w:cs="Segoe UI Semibold"/>
          <w:b/>
          <w:sz w:val="24"/>
          <w:szCs w:val="24"/>
        </w:rPr>
        <w:t>:  A hazard identification study.  Part III.  Immunotoxicology</w:t>
      </w:r>
      <w:r w:rsidR="00D267FC">
        <w:rPr>
          <w:rFonts w:ascii="Segoe UI Semibold" w:hAnsi="Segoe UI Semibold" w:cs="Segoe UI Semibold"/>
          <w:b/>
          <w:sz w:val="24"/>
          <w:szCs w:val="24"/>
        </w:rPr>
        <w:t>_Data set</w:t>
      </w:r>
    </w:p>
    <w:p w14:paraId="52ED08D1" w14:textId="67B37E9F" w:rsidR="00A13831" w:rsidRPr="00E84DF8" w:rsidRDefault="00E84DF8" w:rsidP="00A13831">
      <w:pPr>
        <w:spacing w:line="480" w:lineRule="auto"/>
        <w:ind w:right="720"/>
        <w:rPr>
          <w:rFonts w:ascii="Times New Roman" w:hAnsi="Times New Roman" w:cs="Times New Roman"/>
          <w:sz w:val="24"/>
          <w:szCs w:val="24"/>
        </w:rPr>
      </w:pPr>
      <w:r>
        <w:rPr>
          <w:rFonts w:ascii="Times New Roman" w:hAnsi="Times New Roman" w:cs="Times New Roman"/>
          <w:sz w:val="24"/>
          <w:szCs w:val="24"/>
        </w:rPr>
        <w:t>DATASET Number – RD-1107-2024-0</w:t>
      </w:r>
    </w:p>
    <w:p w14:paraId="154F650A" w14:textId="41C0F336" w:rsidR="00A13831" w:rsidRPr="00D9418E" w:rsidRDefault="00A13831" w:rsidP="00A13831">
      <w:pPr>
        <w:rPr>
          <w:rFonts w:ascii="Segoe UI Semibold" w:hAnsi="Segoe UI Semibold" w:cs="Segoe UI Semibold"/>
          <w:b/>
          <w:bCs/>
          <w:sz w:val="24"/>
          <w:szCs w:val="24"/>
        </w:rPr>
      </w:pPr>
      <w:r w:rsidRPr="00D9418E">
        <w:rPr>
          <w:rFonts w:ascii="Segoe UI Semibold" w:hAnsi="Segoe UI Semibold" w:cs="Segoe UI Semibold"/>
          <w:b/>
          <w:bCs/>
          <w:sz w:val="24"/>
          <w:szCs w:val="24"/>
        </w:rPr>
        <w:t>Introductory Information</w:t>
      </w:r>
    </w:p>
    <w:p w14:paraId="57C9DB10" w14:textId="3F1E060D" w:rsidR="003A6207" w:rsidRPr="00154F71" w:rsidRDefault="002852D1" w:rsidP="000116C5">
      <w:pPr>
        <w:shd w:val="clear" w:color="auto" w:fill="FFFFFF"/>
        <w:spacing w:before="100" w:beforeAutospacing="1" w:after="240" w:line="240" w:lineRule="auto"/>
        <w:outlineLvl w:val="2"/>
        <w:rPr>
          <w:rFonts w:ascii="Segoe UI Semibold" w:hAnsi="Segoe UI Semibold" w:cs="Segoe UI Semibold"/>
          <w:sz w:val="24"/>
          <w:szCs w:val="24"/>
        </w:rPr>
      </w:pPr>
      <w:r w:rsidRPr="002852D1">
        <w:rPr>
          <w:rFonts w:ascii="Segoe UI Semibold" w:hAnsi="Segoe UI Semibold" w:cs="Segoe UI Semibold"/>
          <w:sz w:val="24"/>
          <w:szCs w:val="24"/>
        </w:rPr>
        <w:t>Diesel exhaust (DE) is an air pollutant containing gaseous compounds and particulate matter.  Diesel engines are common on gas extraction and oil sites, leading to complex DE exposure to a broad range of compounds through occupational settings.  The US EPA concluded that short-term exposure to DE leads to allergic inflammatory disorders of the airways.  To further evaluate the immunotoxicity of DE, the effects of whole-body inhalation of 0.2 and 1 mg/m3 DE (total carbon; 6 h/d for 4 days) were investigated 1-, 7-, and 27-days post exposure in Sprague-Dawley rats using an occupationally relevant exposure system.  DE exposure of 1 mg/m3 increased total cellularity, number of CD4+ and CD8+ T-cells, and B-cells at 1 d post-exposure in the lung lymph nodes.  At 7 d post-exposure to 1 mg/m3, cellularity and the number of CD4+ and CD8+ T-cells decreased in the LLNs.  In the bronchoalveolar lavage, B-cell number and frequency increased at 1 d post-exposure, Natural Killer cell number and frequency decreased at 7 d post-exposure, and at 27 d post-exposure CD8+ T-cell and CD11b+ cell number and frequency decreased with 0.2 mg/m3 exposure.  In the spleen, 0.2 mg/m3 increased CD4+ T-cell frequency at 1 and 7 d post-exposure and at 27 d post-exposure increased CD4+ and CD8+ T-cell number and CD8+ T-cell frequency.  B-cells were the only immune cell subset altered in the three tissues (spleen, LLNs, and BALF), suggesting the induction of the adaptive immune response.  The increase in lymphocytes in several different organ types also suggests an induction of a systemic inflammatory response occurring following DE exposure.  These results show that DE exposure induced modifications of cellularity of phenotypic subsets that may impair immune function and contribute to airway inflammation induced by DE exposure in rats.</w:t>
      </w:r>
    </w:p>
    <w:p w14:paraId="4D639F5E" w14:textId="532FF080" w:rsidR="000116C5" w:rsidRPr="000116C5" w:rsidRDefault="000116C5" w:rsidP="000116C5">
      <w:pPr>
        <w:shd w:val="clear" w:color="auto" w:fill="FFFFFF"/>
        <w:spacing w:before="100" w:beforeAutospacing="1" w:after="240" w:line="240" w:lineRule="auto"/>
        <w:outlineLvl w:val="2"/>
        <w:rPr>
          <w:rFonts w:ascii="Segoe UI Semibold" w:eastAsia="Times New Roman" w:hAnsi="Segoe UI Semibold" w:cs="Segoe UI Semibold"/>
          <w:color w:val="000000"/>
          <w:sz w:val="24"/>
          <w:szCs w:val="24"/>
        </w:rPr>
      </w:pPr>
      <w:r w:rsidRPr="000116C5">
        <w:rPr>
          <w:rFonts w:ascii="Segoe UI Semibold" w:eastAsia="Times New Roman" w:hAnsi="Segoe UI Semibold" w:cs="Segoe UI Semibold"/>
          <w:color w:val="000000"/>
          <w:sz w:val="24"/>
          <w:szCs w:val="24"/>
        </w:rPr>
        <w:t>Methods Collection</w:t>
      </w:r>
    </w:p>
    <w:p w14:paraId="01E5AB0D" w14:textId="0E47ED7C" w:rsidR="000116C5" w:rsidRPr="000116C5" w:rsidRDefault="00E0540B" w:rsidP="000116C5">
      <w:pPr>
        <w:numPr>
          <w:ilvl w:val="0"/>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sidRPr="00D9418E">
        <w:rPr>
          <w:rFonts w:ascii="Segoe UI Semibold" w:eastAsia="Times New Roman" w:hAnsi="Segoe UI Semibold" w:cs="Segoe UI Semibold"/>
          <w:color w:val="000000"/>
          <w:sz w:val="24"/>
          <w:szCs w:val="24"/>
        </w:rPr>
        <w:t>Animal Exposures</w:t>
      </w:r>
    </w:p>
    <w:p w14:paraId="7E97D881" w14:textId="158FB5F4" w:rsidR="009A37B4" w:rsidRDefault="009A37B4" w:rsidP="000116C5">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imes New Roman" w:hAnsi="Segoe UI Semibold" w:cs="Segoe UI Semibold"/>
          <w:color w:val="000000"/>
          <w:sz w:val="24"/>
          <w:szCs w:val="24"/>
        </w:rPr>
        <w:t>Male Sprague-Dawley rats (200-275 g at arrival)</w:t>
      </w:r>
    </w:p>
    <w:p w14:paraId="61173871" w14:textId="76B45517" w:rsidR="009A37B4" w:rsidRDefault="009A37B4" w:rsidP="000116C5">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imes New Roman" w:hAnsi="Segoe UI Semibold" w:cs="Segoe UI Semibold"/>
          <w:color w:val="000000"/>
          <w:sz w:val="24"/>
          <w:szCs w:val="24"/>
        </w:rPr>
        <w:t>Diesel exhaust (DE) (0.2 and 1 mg/m3) whole-body inhalation for 6 hours/day for 4 days (filtered air used as control)</w:t>
      </w:r>
    </w:p>
    <w:p w14:paraId="6008486C" w14:textId="167C65F3" w:rsidR="009A37B4" w:rsidRDefault="009A37B4" w:rsidP="000116C5">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imes New Roman" w:hAnsi="Segoe UI Semibold" w:cs="Segoe UI Semibold"/>
          <w:color w:val="000000"/>
          <w:sz w:val="24"/>
          <w:szCs w:val="24"/>
        </w:rPr>
        <w:t>Tissues collected 1, 7, and 27 days following last DE exposure</w:t>
      </w:r>
    </w:p>
    <w:p w14:paraId="5335EA38" w14:textId="54515780" w:rsidR="002852D1" w:rsidRDefault="002852D1" w:rsidP="000116C5">
      <w:pPr>
        <w:numPr>
          <w:ilvl w:val="0"/>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imes New Roman" w:hAnsi="Segoe UI Semibold" w:cs="Segoe UI Semibold"/>
          <w:color w:val="000000"/>
          <w:sz w:val="24"/>
          <w:szCs w:val="24"/>
        </w:rPr>
        <w:t>Diesel exhaust exposures</w:t>
      </w:r>
    </w:p>
    <w:p w14:paraId="63CC824E" w14:textId="4435F95C" w:rsidR="002852D1" w:rsidRDefault="002852D1" w:rsidP="002852D1">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sidRPr="002852D1">
        <w:rPr>
          <w:rFonts w:ascii="Segoe UI Semibold" w:eastAsia="Times New Roman" w:hAnsi="Segoe UI Semibold" w:cs="Segoe UI Semibold"/>
          <w:color w:val="000000"/>
          <w:sz w:val="24"/>
          <w:szCs w:val="24"/>
        </w:rPr>
        <w:lastRenderedPageBreak/>
        <w:t>An eight-kilowatt (KW) diesel generator was used to produce diesel exhaust in real time during inhalation exposures</w:t>
      </w:r>
    </w:p>
    <w:p w14:paraId="6AEBDA8D" w14:textId="77777777" w:rsidR="002852D1" w:rsidRDefault="002852D1" w:rsidP="002852D1">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sidRPr="002852D1">
        <w:rPr>
          <w:rFonts w:ascii="Segoe UI Semibold" w:eastAsia="Times New Roman" w:hAnsi="Segoe UI Semibold" w:cs="Segoe UI Semibold"/>
          <w:color w:val="000000"/>
          <w:sz w:val="24"/>
          <w:szCs w:val="24"/>
        </w:rPr>
        <w:t>Mobil 1 Delvac 1300 Super Motor Oil 15w40 was used as the engine oil</w:t>
      </w:r>
    </w:p>
    <w:p w14:paraId="4EE06E82" w14:textId="3FF11C03" w:rsidR="002852D1" w:rsidRDefault="002852D1" w:rsidP="002852D1">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sidRPr="002852D1">
        <w:rPr>
          <w:rFonts w:ascii="Segoe UI Semibold" w:eastAsia="Times New Roman" w:hAnsi="Segoe UI Semibold" w:cs="Segoe UI Semibold"/>
          <w:color w:val="000000"/>
          <w:sz w:val="24"/>
          <w:szCs w:val="24"/>
        </w:rPr>
        <w:t>The fuel used in the generator was ultra-low sulfur (15ppm or less sulfur), No. 2 dyed winter blend from Jacobs petroleum products in Waynsburg PA</w:t>
      </w:r>
      <w:r>
        <w:rPr>
          <w:rFonts w:ascii="Segoe UI Semibold" w:eastAsia="Times New Roman" w:hAnsi="Segoe UI Semibold" w:cs="Segoe UI Semibold"/>
          <w:color w:val="000000"/>
          <w:sz w:val="24"/>
          <w:szCs w:val="24"/>
        </w:rPr>
        <w:t>.</w:t>
      </w:r>
    </w:p>
    <w:p w14:paraId="3FB5A308" w14:textId="480AEC56" w:rsidR="002852D1" w:rsidRDefault="002852D1" w:rsidP="002852D1">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sidRPr="002852D1">
        <w:rPr>
          <w:rFonts w:ascii="Segoe UI Semibold" w:eastAsia="Times New Roman" w:hAnsi="Segoe UI Semibold" w:cs="Segoe UI Semibold"/>
          <w:color w:val="000000"/>
          <w:sz w:val="24"/>
          <w:szCs w:val="24"/>
        </w:rPr>
        <w:t xml:space="preserve">A custom exposure system with software written in LabVIEW automatically controlled chamber air flows, particle concentration, and exposure duration.  </w:t>
      </w:r>
    </w:p>
    <w:p w14:paraId="0A2CA17F" w14:textId="766BC058" w:rsidR="002852D1" w:rsidRDefault="002852D1" w:rsidP="002852D1">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sidRPr="002852D1">
        <w:rPr>
          <w:rFonts w:ascii="Segoe UI Semibold" w:eastAsia="Times New Roman" w:hAnsi="Segoe UI Semibold" w:cs="Segoe UI Semibold"/>
          <w:color w:val="000000"/>
          <w:sz w:val="24"/>
          <w:szCs w:val="24"/>
        </w:rPr>
        <w:t xml:space="preserve">The count median electric mobility diameter was 120 nm.  </w:t>
      </w:r>
    </w:p>
    <w:p w14:paraId="72D8856E" w14:textId="7DDAEFFE" w:rsidR="000116C5" w:rsidRPr="000116C5" w:rsidRDefault="00E0540B" w:rsidP="000116C5">
      <w:pPr>
        <w:numPr>
          <w:ilvl w:val="0"/>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sidRPr="00D9418E">
        <w:rPr>
          <w:rFonts w:ascii="Segoe UI Semibold" w:eastAsia="Times New Roman" w:hAnsi="Segoe UI Semibold" w:cs="Segoe UI Semibold"/>
          <w:color w:val="000000"/>
          <w:sz w:val="24"/>
          <w:szCs w:val="24"/>
        </w:rPr>
        <w:t>Tissue Collection</w:t>
      </w:r>
    </w:p>
    <w:p w14:paraId="75D18561" w14:textId="6E2D28D9" w:rsidR="009A37B4" w:rsidRDefault="009A37B4" w:rsidP="000116C5">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imes New Roman" w:hAnsi="Segoe UI Semibold" w:cs="Segoe UI Semibold"/>
          <w:color w:val="000000"/>
          <w:sz w:val="24"/>
          <w:szCs w:val="24"/>
        </w:rPr>
        <w:t>Bronchoalveolar lavage fluid collected from left lung by filling the left lung with 3ml of phosphate-buffered saline (PBS), massaging for 30 seconds, withdrawing, and repeating process one more time</w:t>
      </w:r>
    </w:p>
    <w:p w14:paraId="546C2EF8" w14:textId="77C65E53" w:rsidR="009A37B4" w:rsidRDefault="009A37B4" w:rsidP="000116C5">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imes New Roman" w:hAnsi="Segoe UI Semibold" w:cs="Segoe UI Semibold"/>
          <w:color w:val="000000"/>
          <w:sz w:val="24"/>
          <w:szCs w:val="24"/>
        </w:rPr>
        <w:t>Lung lymph nodes (LLN) were collected in PBS and single cell suspensions were prepared by mechanical disruption between frosted microscope slides</w:t>
      </w:r>
    </w:p>
    <w:p w14:paraId="55850D55" w14:textId="25A8B0DF" w:rsidR="009A37B4" w:rsidRDefault="009A37B4" w:rsidP="000116C5">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imes New Roman" w:hAnsi="Segoe UI Semibold" w:cs="Segoe UI Semibold"/>
          <w:color w:val="000000"/>
          <w:sz w:val="24"/>
          <w:szCs w:val="24"/>
        </w:rPr>
        <w:t>Spleen were collected in complete medium and prepared using a 30ml syringe plunger and passing the homogenate through a cell trainer to obtain single cell suspensions</w:t>
      </w:r>
    </w:p>
    <w:p w14:paraId="4193646D" w14:textId="77777777" w:rsidR="009A37B4" w:rsidRPr="00D9418E" w:rsidRDefault="009A37B4" w:rsidP="009A37B4">
      <w:pPr>
        <w:pStyle w:val="ListParagraph"/>
        <w:numPr>
          <w:ilvl w:val="0"/>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sidRPr="00D9418E">
        <w:rPr>
          <w:rFonts w:ascii="Segoe UI Semibold" w:eastAsia="Times New Roman" w:hAnsi="Segoe UI Semibold" w:cs="Segoe UI Semibold"/>
          <w:color w:val="000000"/>
          <w:sz w:val="24"/>
          <w:szCs w:val="24"/>
        </w:rPr>
        <w:t>Immune Cell Subsets</w:t>
      </w:r>
    </w:p>
    <w:p w14:paraId="4E80816A" w14:textId="77777777" w:rsidR="009A37B4" w:rsidRPr="00BD1524" w:rsidRDefault="009A37B4" w:rsidP="009A37B4">
      <w:pPr>
        <w:pStyle w:val="ListParagraph"/>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sidRPr="0001383B">
        <w:rPr>
          <w:rFonts w:ascii="Segoe UI Semibold" w:eastAsia="Times New Roman" w:hAnsi="Segoe UI Semibold" w:cs="Segoe UI Semibold"/>
          <w:color w:val="000000"/>
          <w:sz w:val="24"/>
          <w:szCs w:val="24"/>
        </w:rPr>
        <w:t xml:space="preserve">Flow cytometry using </w:t>
      </w:r>
      <w:r w:rsidRPr="0001383B">
        <w:rPr>
          <w:rFonts w:ascii="Segoe UI Semibold" w:hAnsi="Segoe UI Semibold" w:cs="Segoe UI Semibold"/>
          <w:sz w:val="24"/>
          <w:szCs w:val="24"/>
        </w:rPr>
        <w:t>BD LSRII Flow Cytometer and data was analyzed using FlowJo software.</w:t>
      </w:r>
    </w:p>
    <w:p w14:paraId="16F12528" w14:textId="19AECE75" w:rsidR="00D254FC" w:rsidRDefault="00D254FC" w:rsidP="00C52F33">
      <w:pPr>
        <w:numPr>
          <w:ilvl w:val="0"/>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imes New Roman" w:hAnsi="Segoe UI Semibold" w:cs="Segoe UI Semibold"/>
          <w:color w:val="000000"/>
          <w:sz w:val="24"/>
          <w:szCs w:val="24"/>
        </w:rPr>
        <w:t>Natural kill cell assay</w:t>
      </w:r>
    </w:p>
    <w:p w14:paraId="623314D3" w14:textId="050D4A1E" w:rsidR="00D254FC" w:rsidRPr="00D254FC" w:rsidRDefault="00D254FC" w:rsidP="00D254FC">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imes New Roman" w:hAnsi="Segoe UI Semibold" w:cs="Segoe UI Semibold"/>
          <w:color w:val="000000"/>
          <w:sz w:val="24"/>
          <w:szCs w:val="24"/>
        </w:rPr>
        <w:t>NK cell activity was evaluated using Yac-2 cells as the target cells and splenocytes in single cell suspensions were used as the effector cells.</w:t>
      </w:r>
    </w:p>
    <w:p w14:paraId="56C06843" w14:textId="4D40479C" w:rsidR="00C52F33" w:rsidRPr="002C785A" w:rsidRDefault="00D254FC" w:rsidP="00C52F33">
      <w:pPr>
        <w:numPr>
          <w:ilvl w:val="0"/>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heme="minorEastAsia" w:hAnsi="Segoe UI Semibold" w:cs="Segoe UI Semibold"/>
          <w:color w:val="000000" w:themeColor="text1"/>
          <w:sz w:val="24"/>
          <w:szCs w:val="24"/>
        </w:rPr>
        <w:t>Hematology</w:t>
      </w:r>
    </w:p>
    <w:p w14:paraId="6C0A8CCB" w14:textId="7AEEB78F" w:rsidR="00D254FC" w:rsidRDefault="00D254FC" w:rsidP="00C52F33">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imes New Roman" w:hAnsi="Segoe UI Semibold" w:cs="Segoe UI Semibold"/>
          <w:color w:val="000000"/>
          <w:sz w:val="24"/>
          <w:szCs w:val="24"/>
        </w:rPr>
        <w:t>Blood samples were collected via abdominal aorta of the rats.  Selected complete blood counts were evaluated using IDEXX ProCyte Hematology Analyzer.</w:t>
      </w:r>
    </w:p>
    <w:p w14:paraId="4287D3A2" w14:textId="15DA3FC5" w:rsidR="00E03157" w:rsidRDefault="00D254FC" w:rsidP="000116C5">
      <w:pPr>
        <w:numPr>
          <w:ilvl w:val="0"/>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imes New Roman" w:hAnsi="Segoe UI Semibold" w:cs="Segoe UI Semibold"/>
          <w:color w:val="000000"/>
          <w:sz w:val="24"/>
          <w:szCs w:val="24"/>
        </w:rPr>
        <w:t>Spleen IgM response to SRBC</w:t>
      </w:r>
    </w:p>
    <w:p w14:paraId="3A811D8D" w14:textId="7BC92754" w:rsidR="002C785A" w:rsidRPr="002852D1" w:rsidRDefault="00A03B4D" w:rsidP="00A13831">
      <w:pPr>
        <w:numPr>
          <w:ilvl w:val="1"/>
          <w:numId w:val="1"/>
        </w:numPr>
        <w:shd w:val="clear" w:color="auto" w:fill="FFFFFF"/>
        <w:spacing w:before="100" w:beforeAutospacing="1" w:after="100" w:afterAutospacing="1" w:line="240" w:lineRule="auto"/>
        <w:rPr>
          <w:rFonts w:ascii="Segoe UI Semibold" w:eastAsia="Times New Roman" w:hAnsi="Segoe UI Semibold" w:cs="Segoe UI Semibold"/>
          <w:color w:val="000000"/>
          <w:sz w:val="24"/>
          <w:szCs w:val="24"/>
        </w:rPr>
      </w:pPr>
      <w:r>
        <w:rPr>
          <w:rFonts w:ascii="Segoe UI Semibold" w:eastAsia="Times New Roman" w:hAnsi="Segoe UI Semibold" w:cs="Segoe UI Semibold"/>
          <w:color w:val="000000"/>
          <w:sz w:val="24"/>
          <w:szCs w:val="24"/>
        </w:rPr>
        <w:t>Primary IgM response to SRBC was conducted using a modified hemolytic plaque assay.</w:t>
      </w:r>
    </w:p>
    <w:p w14:paraId="33C242DA" w14:textId="799DEC59" w:rsidR="00A13831" w:rsidRPr="00D9418E" w:rsidRDefault="00A13831" w:rsidP="00A13831">
      <w:pPr>
        <w:rPr>
          <w:rFonts w:ascii="Segoe UI Semibold" w:hAnsi="Segoe UI Semibold" w:cs="Segoe UI Semibold"/>
          <w:b/>
          <w:bCs/>
          <w:sz w:val="24"/>
          <w:szCs w:val="24"/>
        </w:rPr>
      </w:pPr>
      <w:r w:rsidRPr="00D9418E">
        <w:rPr>
          <w:rFonts w:ascii="Segoe UI Semibold" w:hAnsi="Segoe UI Semibold" w:cs="Segoe UI Semibold"/>
          <w:b/>
          <w:bCs/>
          <w:sz w:val="24"/>
          <w:szCs w:val="24"/>
        </w:rPr>
        <w:t>Publications</w:t>
      </w:r>
    </w:p>
    <w:p w14:paraId="480877E1" w14:textId="30FE6874" w:rsidR="00E90E2B" w:rsidRPr="00976865" w:rsidRDefault="00976865" w:rsidP="00A03B4D">
      <w:pPr>
        <w:spacing w:after="0"/>
        <w:rPr>
          <w:rFonts w:ascii="Segoe UI Semibold" w:hAnsi="Segoe UI Semibold" w:cs="Segoe UI Semibold"/>
          <w:sz w:val="24"/>
          <w:szCs w:val="24"/>
        </w:rPr>
      </w:pPr>
      <w:r w:rsidRPr="00976865">
        <w:rPr>
          <w:rFonts w:ascii="Segoe UI Semibold" w:hAnsi="Segoe UI Semibold" w:cs="Segoe UI Semibold"/>
          <w:sz w:val="24"/>
          <w:szCs w:val="24"/>
        </w:rPr>
        <w:t>Dzubak L, Shane H</w:t>
      </w:r>
      <w:r w:rsidRPr="00154F71">
        <w:rPr>
          <w:rFonts w:ascii="Segoe UI Semibold" w:hAnsi="Segoe UI Semibold" w:cs="Segoe UI Semibold"/>
          <w:sz w:val="24"/>
          <w:szCs w:val="24"/>
        </w:rPr>
        <w:t xml:space="preserve">, </w:t>
      </w:r>
      <w:r w:rsidR="005128C3">
        <w:rPr>
          <w:rFonts w:ascii="Segoe UI Semibold" w:hAnsi="Segoe UI Semibold" w:cs="Segoe UI Semibold"/>
          <w:sz w:val="24"/>
          <w:szCs w:val="24"/>
        </w:rPr>
        <w:t xml:space="preserve">Baur R, </w:t>
      </w:r>
      <w:r w:rsidRPr="00154F71">
        <w:rPr>
          <w:rFonts w:ascii="Segoe UI Semibold" w:hAnsi="Segoe UI Semibold" w:cs="Segoe UI Semibold"/>
          <w:sz w:val="24"/>
          <w:szCs w:val="24"/>
        </w:rPr>
        <w:t xml:space="preserve">Lukomska </w:t>
      </w:r>
      <w:r w:rsidRPr="00A03B4D">
        <w:rPr>
          <w:rFonts w:ascii="Segoe UI Semibold" w:hAnsi="Segoe UI Semibold" w:cs="Segoe UI Semibold"/>
          <w:sz w:val="24"/>
          <w:szCs w:val="24"/>
        </w:rPr>
        <w:t xml:space="preserve">E, </w:t>
      </w:r>
      <w:r w:rsidR="005128C3">
        <w:rPr>
          <w:rFonts w:ascii="Segoe UI Semibold" w:hAnsi="Segoe UI Semibold" w:cs="Segoe UI Semibold"/>
          <w:sz w:val="24"/>
          <w:szCs w:val="24"/>
        </w:rPr>
        <w:t xml:space="preserve">McKinney W, </w:t>
      </w:r>
      <w:r w:rsidR="00A03B4D" w:rsidRPr="00A03B4D">
        <w:rPr>
          <w:rFonts w:ascii="Segoe UI Semibold" w:hAnsi="Segoe UI Semibold" w:cs="Segoe UI Semibold"/>
          <w:sz w:val="24"/>
          <w:szCs w:val="24"/>
        </w:rPr>
        <w:t xml:space="preserve">Roberts J, Fedan J, </w:t>
      </w:r>
      <w:r w:rsidRPr="00A03B4D">
        <w:rPr>
          <w:rFonts w:ascii="Segoe UI Semibold" w:hAnsi="Segoe UI Semibold" w:cs="Segoe UI Semibold"/>
          <w:sz w:val="24"/>
          <w:szCs w:val="24"/>
        </w:rPr>
        <w:t>Anderson S [202</w:t>
      </w:r>
      <w:r w:rsidR="005128C3">
        <w:rPr>
          <w:rFonts w:ascii="Segoe UI Semibold" w:hAnsi="Segoe UI Semibold" w:cs="Segoe UI Semibold"/>
          <w:sz w:val="24"/>
          <w:szCs w:val="24"/>
        </w:rPr>
        <w:t>4</w:t>
      </w:r>
      <w:r w:rsidRPr="00A03B4D">
        <w:rPr>
          <w:rFonts w:ascii="Segoe UI Semibold" w:hAnsi="Segoe UI Semibold" w:cs="Segoe UI Semibold"/>
          <w:sz w:val="24"/>
          <w:szCs w:val="24"/>
        </w:rPr>
        <w:t xml:space="preserve">]. </w:t>
      </w:r>
      <w:r w:rsidR="00A03B4D" w:rsidRPr="00A03B4D">
        <w:rPr>
          <w:rFonts w:ascii="Segoe UI Semibold" w:hAnsi="Segoe UI Semibold" w:cs="Segoe UI Semibold"/>
          <w:sz w:val="24"/>
          <w:szCs w:val="24"/>
        </w:rPr>
        <w:t>Effects of inhaled tier-2 diesel engine exhaust on immunotoxicity in a rat model</w:t>
      </w:r>
      <w:r w:rsidR="005128C3">
        <w:rPr>
          <w:rFonts w:ascii="Segoe UI Semibold" w:hAnsi="Segoe UI Semibold" w:cs="Segoe UI Semibold"/>
          <w:sz w:val="24"/>
          <w:szCs w:val="24"/>
        </w:rPr>
        <w:t>: A hazard identification study. Part II Immunotoxicology</w:t>
      </w:r>
      <w:r w:rsidR="00A03B4D">
        <w:rPr>
          <w:rFonts w:ascii="Segoe UI Semibold" w:hAnsi="Segoe UI Semibold" w:cs="Segoe UI Semibold"/>
          <w:sz w:val="24"/>
          <w:szCs w:val="24"/>
        </w:rPr>
        <w:t xml:space="preserve">.  </w:t>
      </w:r>
      <w:r w:rsidR="005128C3">
        <w:rPr>
          <w:rFonts w:ascii="Segoe UI Semibold" w:hAnsi="Segoe UI Semibold" w:cs="Segoe UI Semibold"/>
          <w:sz w:val="24"/>
          <w:szCs w:val="24"/>
        </w:rPr>
        <w:t>Toxicol Rep</w:t>
      </w:r>
      <w:r w:rsidR="000C4E71">
        <w:rPr>
          <w:rFonts w:ascii="Segoe UI Semibold" w:hAnsi="Segoe UI Semibold" w:cs="Segoe UI Semibold"/>
          <w:sz w:val="24"/>
          <w:szCs w:val="24"/>
        </w:rPr>
        <w:t>.</w:t>
      </w:r>
      <w:r w:rsidR="005128C3">
        <w:rPr>
          <w:rFonts w:ascii="Segoe UI Semibold" w:hAnsi="Segoe UI Semibold" w:cs="Segoe UI Semibold"/>
          <w:sz w:val="24"/>
          <w:szCs w:val="24"/>
        </w:rPr>
        <w:t xml:space="preserve"> Jan 15; 12:135-147. Doi: 10.1016/j.toxrep.2024.01.004.</w:t>
      </w:r>
      <w:r w:rsidR="000C4E71">
        <w:rPr>
          <w:rFonts w:ascii="Segoe UI Semibold" w:hAnsi="Segoe UI Semibold" w:cs="Segoe UI Semibold"/>
          <w:sz w:val="24"/>
          <w:szCs w:val="24"/>
        </w:rPr>
        <w:t xml:space="preserve"> </w:t>
      </w:r>
      <w:r w:rsidRPr="00976865">
        <w:rPr>
          <w:rFonts w:ascii="Segoe UI Semibold" w:hAnsi="Segoe UI Semibold" w:cs="Segoe UI Semibold"/>
          <w:sz w:val="24"/>
          <w:szCs w:val="24"/>
          <w:shd w:val="clear" w:color="auto" w:fill="FFFFFF"/>
        </w:rPr>
        <w:t xml:space="preserve"> </w:t>
      </w:r>
    </w:p>
    <w:p w14:paraId="26F01F58" w14:textId="77777777" w:rsidR="00A03B4D" w:rsidRDefault="00A03B4D" w:rsidP="00A13831">
      <w:pPr>
        <w:rPr>
          <w:rFonts w:ascii="Segoe UI Semibold" w:hAnsi="Segoe UI Semibold" w:cs="Segoe UI Semibold"/>
          <w:b/>
          <w:bCs/>
          <w:sz w:val="24"/>
          <w:szCs w:val="24"/>
        </w:rPr>
      </w:pPr>
    </w:p>
    <w:p w14:paraId="26A5FF85" w14:textId="163268EE" w:rsidR="000116C5" w:rsidRPr="00C86D32" w:rsidRDefault="000116C5" w:rsidP="00A13831">
      <w:pPr>
        <w:rPr>
          <w:rFonts w:ascii="Segoe UI Semibold" w:hAnsi="Segoe UI Semibold" w:cs="Segoe UI Semibold"/>
          <w:b/>
          <w:bCs/>
          <w:sz w:val="24"/>
          <w:szCs w:val="24"/>
        </w:rPr>
      </w:pPr>
      <w:r w:rsidRPr="00C86D32">
        <w:rPr>
          <w:rFonts w:ascii="Segoe UI Semibold" w:hAnsi="Segoe UI Semibold" w:cs="Segoe UI Semibold"/>
          <w:b/>
          <w:bCs/>
          <w:sz w:val="24"/>
          <w:szCs w:val="24"/>
        </w:rPr>
        <w:t>Acknowledgements</w:t>
      </w:r>
    </w:p>
    <w:p w14:paraId="72FB951C" w14:textId="1A09908F" w:rsidR="000C4E71" w:rsidRDefault="000C4E71" w:rsidP="000C4E71">
      <w:pPr>
        <w:spacing w:line="240" w:lineRule="auto"/>
        <w:ind w:right="720"/>
        <w:rPr>
          <w:rFonts w:ascii="Segoe UI Semibold" w:hAnsi="Segoe UI Semibold" w:cs="Segoe UI Semibold"/>
          <w:color w:val="000000"/>
          <w:sz w:val="24"/>
          <w:szCs w:val="24"/>
          <w:shd w:val="clear" w:color="auto" w:fill="FFFFFF"/>
        </w:rPr>
      </w:pPr>
      <w:r w:rsidRPr="000C4E71">
        <w:rPr>
          <w:rFonts w:ascii="Segoe UI Semibold" w:hAnsi="Segoe UI Semibold" w:cs="Segoe UI Semibold"/>
          <w:color w:val="000000"/>
          <w:sz w:val="24"/>
          <w:szCs w:val="24"/>
          <w:shd w:val="clear" w:color="auto" w:fill="FFFFFF"/>
        </w:rPr>
        <w:t>Funding was provided by the National Institute for Occupational Safety and Health, Project Number 6927ZLDC.</w:t>
      </w:r>
    </w:p>
    <w:p w14:paraId="7BFB88A6" w14:textId="77777777" w:rsidR="000C4E71" w:rsidRPr="000C4E71" w:rsidRDefault="000C4E71" w:rsidP="000C4E71">
      <w:pPr>
        <w:spacing w:line="240" w:lineRule="auto"/>
        <w:ind w:right="720"/>
        <w:rPr>
          <w:rFonts w:ascii="Segoe UI Semibold" w:hAnsi="Segoe UI Semibold" w:cs="Segoe UI Semibold"/>
          <w:color w:val="000000"/>
          <w:sz w:val="24"/>
          <w:szCs w:val="24"/>
          <w:shd w:val="clear" w:color="auto" w:fill="FFFFFF"/>
        </w:rPr>
      </w:pPr>
    </w:p>
    <w:p w14:paraId="40E92C53" w14:textId="0CB8B8D3" w:rsidR="00447B00" w:rsidRPr="00447B00" w:rsidRDefault="00976865" w:rsidP="00976865">
      <w:pPr>
        <w:spacing w:line="480" w:lineRule="auto"/>
        <w:ind w:right="720"/>
        <w:rPr>
          <w:rFonts w:ascii="Segoe UI Semibold" w:hAnsi="Segoe UI Semibold" w:cs="Segoe UI Semibold"/>
          <w:color w:val="0563C1" w:themeColor="hyperlink"/>
          <w:sz w:val="24"/>
          <w:szCs w:val="24"/>
          <w:u w:val="single"/>
        </w:rPr>
      </w:pPr>
      <w:r w:rsidRPr="00C86D32">
        <w:rPr>
          <w:rFonts w:ascii="Segoe UI Semibold" w:hAnsi="Segoe UI Semibold" w:cs="Segoe UI Semibold"/>
          <w:sz w:val="24"/>
          <w:szCs w:val="24"/>
        </w:rPr>
        <w:t xml:space="preserve">Lisa M. Weatherly </w:t>
      </w:r>
      <w:hyperlink r:id="rId7" w:history="1">
        <w:r w:rsidRPr="00C86D32">
          <w:rPr>
            <w:rStyle w:val="Hyperlink"/>
            <w:rFonts w:ascii="Segoe UI Semibold" w:hAnsi="Segoe UI Semibold" w:cs="Segoe UI Semibold"/>
            <w:sz w:val="24"/>
            <w:szCs w:val="24"/>
          </w:rPr>
          <w:t>nux6@cdc.gov</w:t>
        </w:r>
      </w:hyperlink>
    </w:p>
    <w:p w14:paraId="315DBB00" w14:textId="14652656" w:rsidR="00447B00" w:rsidRDefault="00447B00" w:rsidP="000042A7">
      <w:pPr>
        <w:spacing w:line="480" w:lineRule="auto"/>
        <w:ind w:right="720"/>
        <w:rPr>
          <w:rFonts w:ascii="Segoe UI Semibold" w:hAnsi="Segoe UI Semibold" w:cs="Segoe UI Semibold"/>
          <w:sz w:val="24"/>
          <w:szCs w:val="24"/>
        </w:rPr>
      </w:pPr>
      <w:r>
        <w:rPr>
          <w:rFonts w:ascii="Segoe UI Semibold" w:hAnsi="Segoe UI Semibold" w:cs="Segoe UI Semibold"/>
          <w:sz w:val="24"/>
          <w:szCs w:val="24"/>
        </w:rPr>
        <w:t xml:space="preserve">Hillary L. Shane </w:t>
      </w:r>
      <w:hyperlink r:id="rId8" w:history="1">
        <w:r w:rsidRPr="00447B00">
          <w:rPr>
            <w:rStyle w:val="Hyperlink"/>
            <w:rFonts w:ascii="Segoe UI Semibold" w:hAnsi="Segoe UI Semibold" w:cs="Segoe UI Semibold"/>
            <w:sz w:val="24"/>
            <w:szCs w:val="24"/>
          </w:rPr>
          <w:t>hshane7@gmail.com</w:t>
        </w:r>
      </w:hyperlink>
    </w:p>
    <w:p w14:paraId="6686F9F3" w14:textId="48A98071" w:rsidR="00447B00" w:rsidRDefault="00447B00" w:rsidP="000042A7">
      <w:pPr>
        <w:spacing w:line="480" w:lineRule="auto"/>
        <w:ind w:right="720"/>
        <w:rPr>
          <w:rFonts w:ascii="Segoe UI Semibold" w:hAnsi="Segoe UI Semibold" w:cs="Segoe UI Semibold"/>
          <w:sz w:val="24"/>
          <w:szCs w:val="24"/>
        </w:rPr>
      </w:pPr>
      <w:r>
        <w:rPr>
          <w:rFonts w:ascii="Segoe UI Semibold" w:hAnsi="Segoe UI Semibold" w:cs="Segoe UI Semibold"/>
          <w:sz w:val="24"/>
          <w:szCs w:val="24"/>
        </w:rPr>
        <w:t xml:space="preserve">Rachel Baur </w:t>
      </w:r>
      <w:hyperlink r:id="rId9" w:history="1">
        <w:r w:rsidRPr="00447B00">
          <w:rPr>
            <w:rStyle w:val="Hyperlink"/>
            <w:rFonts w:ascii="Segoe UI Semibold" w:hAnsi="Segoe UI Semibold" w:cs="Segoe UI Semibold"/>
            <w:sz w:val="24"/>
            <w:szCs w:val="24"/>
          </w:rPr>
          <w:t>rms0051@mix.wvu.edu</w:t>
        </w:r>
      </w:hyperlink>
    </w:p>
    <w:p w14:paraId="18217C43" w14:textId="25971DC4" w:rsidR="00A03B4D" w:rsidRPr="00A03B4D" w:rsidRDefault="000042A7" w:rsidP="000042A7">
      <w:pPr>
        <w:spacing w:line="480" w:lineRule="auto"/>
        <w:ind w:right="720"/>
        <w:rPr>
          <w:rFonts w:ascii="Segoe UI Semibold" w:hAnsi="Segoe UI Semibold" w:cs="Segoe UI Semibold"/>
          <w:color w:val="0563C1" w:themeColor="hyperlink"/>
          <w:sz w:val="24"/>
          <w:szCs w:val="24"/>
          <w:u w:val="single"/>
        </w:rPr>
      </w:pPr>
      <w:r w:rsidRPr="00154F71">
        <w:rPr>
          <w:rFonts w:ascii="Segoe UI Semibold" w:hAnsi="Segoe UI Semibold" w:cs="Segoe UI Semibold"/>
          <w:sz w:val="24"/>
          <w:szCs w:val="24"/>
        </w:rPr>
        <w:t>Ewa Lukomska</w:t>
      </w:r>
      <w:r w:rsidR="00761DA5" w:rsidRPr="00154F71">
        <w:rPr>
          <w:rFonts w:ascii="Segoe UI Semibold" w:hAnsi="Segoe UI Semibold" w:cs="Segoe UI Semibold"/>
          <w:sz w:val="24"/>
          <w:szCs w:val="24"/>
        </w:rPr>
        <w:t xml:space="preserve"> </w:t>
      </w:r>
      <w:hyperlink r:id="rId10" w:history="1">
        <w:r w:rsidR="00761DA5" w:rsidRPr="00154F71">
          <w:rPr>
            <w:rStyle w:val="Hyperlink"/>
            <w:rFonts w:ascii="Segoe UI Semibold" w:hAnsi="Segoe UI Semibold" w:cs="Segoe UI Semibold"/>
            <w:sz w:val="24"/>
            <w:szCs w:val="24"/>
          </w:rPr>
          <w:t>uvm3@cdc.gov</w:t>
        </w:r>
      </w:hyperlink>
    </w:p>
    <w:p w14:paraId="411ECBE1" w14:textId="18D78F01" w:rsidR="00A03B4D" w:rsidRDefault="00A03B4D" w:rsidP="000042A7">
      <w:pPr>
        <w:spacing w:line="480" w:lineRule="auto"/>
        <w:ind w:right="720"/>
        <w:rPr>
          <w:rFonts w:ascii="Segoe UI Semibold" w:hAnsi="Segoe UI Semibold" w:cs="Segoe UI Semibold"/>
          <w:sz w:val="24"/>
          <w:szCs w:val="24"/>
        </w:rPr>
      </w:pPr>
      <w:r>
        <w:rPr>
          <w:rFonts w:ascii="Segoe UI Semibold" w:hAnsi="Segoe UI Semibold" w:cs="Segoe UI Semibold"/>
          <w:sz w:val="24"/>
          <w:szCs w:val="24"/>
        </w:rPr>
        <w:t xml:space="preserve">Jenny Roberts </w:t>
      </w:r>
      <w:hyperlink r:id="rId11" w:history="1">
        <w:r w:rsidRPr="004500AE">
          <w:rPr>
            <w:rStyle w:val="Hyperlink"/>
            <w:rFonts w:ascii="Segoe UI Semibold" w:hAnsi="Segoe UI Semibold" w:cs="Segoe UI Semibold"/>
            <w:sz w:val="24"/>
            <w:szCs w:val="24"/>
          </w:rPr>
          <w:t>jur6@cdc.gov</w:t>
        </w:r>
      </w:hyperlink>
    </w:p>
    <w:p w14:paraId="04258482" w14:textId="595C343A" w:rsidR="00447B00" w:rsidRDefault="00447B00" w:rsidP="000042A7">
      <w:pPr>
        <w:spacing w:line="480" w:lineRule="auto"/>
        <w:ind w:right="720"/>
        <w:rPr>
          <w:rFonts w:ascii="Segoe UI Semibold" w:hAnsi="Segoe UI Semibold" w:cs="Segoe UI Semibold"/>
          <w:sz w:val="24"/>
          <w:szCs w:val="24"/>
        </w:rPr>
      </w:pPr>
      <w:r>
        <w:rPr>
          <w:rFonts w:ascii="Segoe UI Semibold" w:hAnsi="Segoe UI Semibold" w:cs="Segoe UI Semibold"/>
          <w:sz w:val="24"/>
          <w:szCs w:val="24"/>
        </w:rPr>
        <w:t xml:space="preserve">Jeffrey S. Fedan </w:t>
      </w:r>
    </w:p>
    <w:p w14:paraId="5366AD5F" w14:textId="1C159C9A" w:rsidR="000042A7" w:rsidRPr="00C86D32" w:rsidRDefault="000042A7" w:rsidP="000042A7">
      <w:pPr>
        <w:spacing w:line="480" w:lineRule="auto"/>
        <w:ind w:right="720"/>
        <w:rPr>
          <w:rFonts w:ascii="Segoe UI Semibold" w:hAnsi="Segoe UI Semibold" w:cs="Segoe UI Semibold"/>
          <w:sz w:val="24"/>
          <w:szCs w:val="24"/>
        </w:rPr>
      </w:pPr>
      <w:r w:rsidRPr="00C86D32">
        <w:rPr>
          <w:rFonts w:ascii="Segoe UI Semibold" w:hAnsi="Segoe UI Semibold" w:cs="Segoe UI Semibold"/>
          <w:sz w:val="24"/>
          <w:szCs w:val="24"/>
        </w:rPr>
        <w:t>Stacey E. Anderson</w:t>
      </w:r>
      <w:r w:rsidR="00761DA5" w:rsidRPr="00C86D32">
        <w:rPr>
          <w:rFonts w:ascii="Segoe UI Semibold" w:hAnsi="Segoe UI Semibold" w:cs="Segoe UI Semibold"/>
          <w:sz w:val="24"/>
          <w:szCs w:val="24"/>
        </w:rPr>
        <w:t xml:space="preserve"> </w:t>
      </w:r>
      <w:hyperlink r:id="rId12" w:history="1">
        <w:r w:rsidR="00761DA5" w:rsidRPr="00C86D32">
          <w:rPr>
            <w:rStyle w:val="Hyperlink"/>
            <w:rFonts w:ascii="Segoe UI Semibold" w:hAnsi="Segoe UI Semibold" w:cs="Segoe UI Semibold"/>
            <w:sz w:val="24"/>
            <w:szCs w:val="24"/>
          </w:rPr>
          <w:t>Sanderson4@cdc.gov</w:t>
        </w:r>
      </w:hyperlink>
    </w:p>
    <w:p w14:paraId="22B22987" w14:textId="77777777" w:rsidR="000042A7" w:rsidRDefault="000042A7" w:rsidP="00A13831">
      <w:pPr>
        <w:rPr>
          <w:rFonts w:ascii="Segoe UI" w:hAnsi="Segoe UI" w:cs="Segoe UI"/>
          <w:color w:val="000000"/>
          <w:sz w:val="26"/>
          <w:szCs w:val="26"/>
          <w:shd w:val="clear" w:color="auto" w:fill="FFFFFF"/>
        </w:rPr>
      </w:pPr>
    </w:p>
    <w:p w14:paraId="414A6280" w14:textId="22E23C27" w:rsidR="000042A7" w:rsidRDefault="000042A7" w:rsidP="00A13831">
      <w:pPr>
        <w:rPr>
          <w:rFonts w:ascii="Segoe UI" w:hAnsi="Segoe UI" w:cs="Segoe UI"/>
          <w:b/>
          <w:bCs/>
          <w:color w:val="000000"/>
          <w:sz w:val="26"/>
          <w:szCs w:val="26"/>
          <w:shd w:val="clear" w:color="auto" w:fill="FFFFFF"/>
        </w:rPr>
      </w:pPr>
      <w:r w:rsidRPr="000042A7">
        <w:rPr>
          <w:rFonts w:ascii="Segoe UI" w:hAnsi="Segoe UI" w:cs="Segoe UI"/>
          <w:b/>
          <w:bCs/>
          <w:color w:val="000000"/>
          <w:sz w:val="26"/>
          <w:szCs w:val="26"/>
          <w:shd w:val="clear" w:color="auto" w:fill="FFFFFF"/>
        </w:rPr>
        <w:t>Contact</w:t>
      </w:r>
    </w:p>
    <w:p w14:paraId="50FC64CA" w14:textId="310952B6" w:rsidR="00C86D32" w:rsidRPr="00C86D32" w:rsidRDefault="000042A7" w:rsidP="00C86D32">
      <w:pPr>
        <w:spacing w:line="480" w:lineRule="auto"/>
        <w:ind w:right="720"/>
        <w:rPr>
          <w:rFonts w:ascii="Segoe UI Semibold" w:hAnsi="Segoe UI Semibold" w:cs="Segoe UI Semibold"/>
          <w:sz w:val="24"/>
          <w:szCs w:val="24"/>
        </w:rPr>
      </w:pPr>
      <w:r w:rsidRPr="00C86D32">
        <w:rPr>
          <w:rFonts w:ascii="Segoe UI Semibold" w:hAnsi="Segoe UI Semibold" w:cs="Segoe UI Semibold"/>
          <w:color w:val="000000"/>
          <w:sz w:val="26"/>
          <w:szCs w:val="26"/>
          <w:shd w:val="clear" w:color="auto" w:fill="FFFFFF"/>
        </w:rPr>
        <w:t>For further information contact:</w:t>
      </w:r>
      <w:r w:rsidRPr="00C86D32">
        <w:rPr>
          <w:rFonts w:ascii="Segoe UI Semibold" w:hAnsi="Segoe UI Semibold" w:cs="Segoe UI Semibold"/>
          <w:color w:val="000000"/>
          <w:sz w:val="26"/>
          <w:szCs w:val="26"/>
        </w:rPr>
        <w:br/>
      </w:r>
      <w:r w:rsidR="00C86D32" w:rsidRPr="00C86D32">
        <w:rPr>
          <w:rFonts w:ascii="Segoe UI Semibold" w:hAnsi="Segoe UI Semibold" w:cs="Segoe UI Semibold"/>
          <w:sz w:val="24"/>
          <w:szCs w:val="24"/>
        </w:rPr>
        <w:t>Allergy and Clinical Immunology Branch (ACIB), Health Effects Laboratory Division (HELD), National Institute for Occupational Safety and Health (NIOSH), Morgantown, WV</w:t>
      </w:r>
    </w:p>
    <w:p w14:paraId="5FD6E253" w14:textId="60F78AF5" w:rsidR="00E03157" w:rsidRDefault="00E03157" w:rsidP="00D9418E">
      <w:pPr>
        <w:rPr>
          <w:rFonts w:ascii="Segoe UI Semibold" w:hAnsi="Segoe UI Semibold" w:cs="Segoe UI Semibold"/>
          <w:color w:val="000000"/>
          <w:sz w:val="26"/>
          <w:szCs w:val="26"/>
          <w:shd w:val="clear" w:color="auto" w:fill="FFFFFF"/>
        </w:rPr>
      </w:pPr>
    </w:p>
    <w:p w14:paraId="2D12F956" w14:textId="21DB5199" w:rsidR="000042A7" w:rsidRPr="00C86D32" w:rsidRDefault="00E03157" w:rsidP="00D9418E">
      <w:pPr>
        <w:rPr>
          <w:rFonts w:ascii="Segoe UI Semibold" w:hAnsi="Segoe UI Semibold" w:cs="Segoe UI Semibold"/>
          <w:b/>
          <w:bCs/>
          <w:sz w:val="24"/>
          <w:szCs w:val="24"/>
        </w:rPr>
      </w:pPr>
      <w:r>
        <w:rPr>
          <w:rFonts w:ascii="Segoe UI Semibold" w:hAnsi="Segoe UI Semibold" w:cs="Segoe UI Semibold"/>
          <w:b/>
          <w:bCs/>
          <w:noProof/>
          <w:sz w:val="24"/>
          <w:szCs w:val="24"/>
        </w:rPr>
        <w:fldChar w:fldCharType="begin"/>
      </w:r>
      <w:r>
        <w:rPr>
          <w:rFonts w:ascii="Segoe UI Semibold" w:hAnsi="Segoe UI Semibold" w:cs="Segoe UI Semibold"/>
          <w:b/>
          <w:bCs/>
          <w:sz w:val="24"/>
          <w:szCs w:val="24"/>
        </w:rPr>
        <w:instrText xml:space="preserve"> ADDIN EN.REFLIST </w:instrText>
      </w:r>
      <w:r w:rsidR="00E84DF8">
        <w:rPr>
          <w:rFonts w:ascii="Segoe UI Semibold" w:hAnsi="Segoe UI Semibold" w:cs="Segoe UI Semibold"/>
          <w:b/>
          <w:bCs/>
          <w:noProof/>
          <w:sz w:val="24"/>
          <w:szCs w:val="24"/>
        </w:rPr>
        <w:fldChar w:fldCharType="separate"/>
      </w:r>
      <w:r>
        <w:rPr>
          <w:rFonts w:ascii="Segoe UI Semibold" w:hAnsi="Segoe UI Semibold" w:cs="Segoe UI Semibold"/>
          <w:b/>
          <w:bCs/>
          <w:sz w:val="24"/>
          <w:szCs w:val="24"/>
        </w:rPr>
        <w:fldChar w:fldCharType="end"/>
      </w:r>
    </w:p>
    <w:sectPr w:rsidR="000042A7" w:rsidRPr="00C86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66159" w14:textId="77777777" w:rsidR="00217C9E" w:rsidRDefault="00217C9E" w:rsidP="00A13831">
      <w:pPr>
        <w:spacing w:after="0" w:line="240" w:lineRule="auto"/>
      </w:pPr>
      <w:r>
        <w:separator/>
      </w:r>
    </w:p>
  </w:endnote>
  <w:endnote w:type="continuationSeparator" w:id="0">
    <w:p w14:paraId="495C74B0" w14:textId="77777777" w:rsidR="00217C9E" w:rsidRDefault="00217C9E" w:rsidP="00A13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27DBD" w14:textId="77777777" w:rsidR="00217C9E" w:rsidRDefault="00217C9E" w:rsidP="00A13831">
      <w:pPr>
        <w:spacing w:after="0" w:line="240" w:lineRule="auto"/>
      </w:pPr>
      <w:r>
        <w:separator/>
      </w:r>
    </w:p>
  </w:footnote>
  <w:footnote w:type="continuationSeparator" w:id="0">
    <w:p w14:paraId="31CD4DA9" w14:textId="77777777" w:rsidR="00217C9E" w:rsidRDefault="00217C9E" w:rsidP="00A138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20C3C"/>
    <w:multiLevelType w:val="hybridMultilevel"/>
    <w:tmpl w:val="34DE8F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8CB0122"/>
    <w:multiLevelType w:val="multilevel"/>
    <w:tmpl w:val="979CDF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64720606">
    <w:abstractNumId w:val="1"/>
  </w:num>
  <w:num w:numId="2" w16cid:durableId="1997217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Toxicological Sciences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2fwedsdrvxw5qepd2bvpxprvtxv5r0t0ve0&quot;&gt;Endnote-Saved-Saved-Converted&lt;record-ids&gt;&lt;item&gt;367&lt;/item&gt;&lt;/record-ids&gt;&lt;/item&gt;&lt;/Libraries&gt;"/>
  </w:docVars>
  <w:rsids>
    <w:rsidRoot w:val="00A13831"/>
    <w:rsid w:val="000042A7"/>
    <w:rsid w:val="00010147"/>
    <w:rsid w:val="000116C5"/>
    <w:rsid w:val="0001383B"/>
    <w:rsid w:val="00076F88"/>
    <w:rsid w:val="00077512"/>
    <w:rsid w:val="000A1802"/>
    <w:rsid w:val="000B2EAA"/>
    <w:rsid w:val="000B5A1C"/>
    <w:rsid w:val="000C4E71"/>
    <w:rsid w:val="000C57D9"/>
    <w:rsid w:val="000F3F50"/>
    <w:rsid w:val="001412F0"/>
    <w:rsid w:val="00154F71"/>
    <w:rsid w:val="00172B0D"/>
    <w:rsid w:val="001A4570"/>
    <w:rsid w:val="001B137C"/>
    <w:rsid w:val="001F3145"/>
    <w:rsid w:val="001F52EC"/>
    <w:rsid w:val="00217C9E"/>
    <w:rsid w:val="00267EB9"/>
    <w:rsid w:val="002852D1"/>
    <w:rsid w:val="002936F4"/>
    <w:rsid w:val="002B2619"/>
    <w:rsid w:val="002C785A"/>
    <w:rsid w:val="002F4CFE"/>
    <w:rsid w:val="003005E4"/>
    <w:rsid w:val="00311E65"/>
    <w:rsid w:val="003A6207"/>
    <w:rsid w:val="003B4203"/>
    <w:rsid w:val="00404DEA"/>
    <w:rsid w:val="004369A3"/>
    <w:rsid w:val="00445A40"/>
    <w:rsid w:val="00447B00"/>
    <w:rsid w:val="004A395F"/>
    <w:rsid w:val="005128C3"/>
    <w:rsid w:val="00517A05"/>
    <w:rsid w:val="006300CB"/>
    <w:rsid w:val="00761DA5"/>
    <w:rsid w:val="007E79CA"/>
    <w:rsid w:val="00884D27"/>
    <w:rsid w:val="008E4C60"/>
    <w:rsid w:val="008F1880"/>
    <w:rsid w:val="009211D0"/>
    <w:rsid w:val="00976865"/>
    <w:rsid w:val="00982924"/>
    <w:rsid w:val="009A37B4"/>
    <w:rsid w:val="00A03B4D"/>
    <w:rsid w:val="00A13831"/>
    <w:rsid w:val="00A64663"/>
    <w:rsid w:val="00AC7FA2"/>
    <w:rsid w:val="00AD69F6"/>
    <w:rsid w:val="00BD1524"/>
    <w:rsid w:val="00C41B0D"/>
    <w:rsid w:val="00C52F33"/>
    <w:rsid w:val="00C86D32"/>
    <w:rsid w:val="00CA7B42"/>
    <w:rsid w:val="00CE66BD"/>
    <w:rsid w:val="00D1725E"/>
    <w:rsid w:val="00D2235A"/>
    <w:rsid w:val="00D254FC"/>
    <w:rsid w:val="00D267FC"/>
    <w:rsid w:val="00D31D96"/>
    <w:rsid w:val="00D6553D"/>
    <w:rsid w:val="00D9418E"/>
    <w:rsid w:val="00E03157"/>
    <w:rsid w:val="00E04C49"/>
    <w:rsid w:val="00E0540B"/>
    <w:rsid w:val="00E84DF8"/>
    <w:rsid w:val="00E90E2B"/>
    <w:rsid w:val="00E95EE4"/>
    <w:rsid w:val="00EA6F58"/>
    <w:rsid w:val="00EC141D"/>
    <w:rsid w:val="00F14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2DADF"/>
  <w15:chartTrackingRefBased/>
  <w15:docId w15:val="{E588C694-88F1-498B-B6D8-D8E4E5118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831"/>
  </w:style>
  <w:style w:type="paragraph" w:styleId="Heading3">
    <w:name w:val="heading 3"/>
    <w:basedOn w:val="Normal"/>
    <w:link w:val="Heading3Char"/>
    <w:uiPriority w:val="9"/>
    <w:qFormat/>
    <w:rsid w:val="000116C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38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3831"/>
    <w:rPr>
      <w:rFonts w:ascii="Segoe UI" w:hAnsi="Segoe UI" w:cs="Segoe UI"/>
      <w:sz w:val="18"/>
      <w:szCs w:val="18"/>
    </w:rPr>
  </w:style>
  <w:style w:type="table" w:styleId="TableGrid">
    <w:name w:val="Table Grid"/>
    <w:basedOn w:val="TableNormal"/>
    <w:uiPriority w:val="39"/>
    <w:rsid w:val="00A138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A13831"/>
  </w:style>
  <w:style w:type="character" w:customStyle="1" w:styleId="Heading3Char">
    <w:name w:val="Heading 3 Char"/>
    <w:basedOn w:val="DefaultParagraphFont"/>
    <w:link w:val="Heading3"/>
    <w:uiPriority w:val="9"/>
    <w:rsid w:val="000116C5"/>
    <w:rPr>
      <w:rFonts w:ascii="Times New Roman" w:eastAsia="Times New Roman" w:hAnsi="Times New Roman" w:cs="Times New Roman"/>
      <w:b/>
      <w:bCs/>
      <w:sz w:val="27"/>
      <w:szCs w:val="27"/>
    </w:rPr>
  </w:style>
  <w:style w:type="paragraph" w:styleId="ListParagraph">
    <w:name w:val="List Paragraph"/>
    <w:basedOn w:val="Normal"/>
    <w:uiPriority w:val="34"/>
    <w:qFormat/>
    <w:rsid w:val="00E0540B"/>
    <w:pPr>
      <w:ind w:left="720"/>
      <w:contextualSpacing/>
    </w:pPr>
  </w:style>
  <w:style w:type="character" w:styleId="Hyperlink">
    <w:name w:val="Hyperlink"/>
    <w:basedOn w:val="DefaultParagraphFont"/>
    <w:uiPriority w:val="99"/>
    <w:unhideWhenUsed/>
    <w:rsid w:val="00761DA5"/>
    <w:rPr>
      <w:color w:val="0563C1" w:themeColor="hyperlink"/>
      <w:u w:val="single"/>
    </w:rPr>
  </w:style>
  <w:style w:type="character" w:styleId="UnresolvedMention">
    <w:name w:val="Unresolved Mention"/>
    <w:basedOn w:val="DefaultParagraphFont"/>
    <w:uiPriority w:val="99"/>
    <w:semiHidden/>
    <w:unhideWhenUsed/>
    <w:rsid w:val="00761DA5"/>
    <w:rPr>
      <w:color w:val="605E5C"/>
      <w:shd w:val="clear" w:color="auto" w:fill="E1DFDD"/>
    </w:rPr>
  </w:style>
  <w:style w:type="character" w:customStyle="1" w:styleId="hgkelc">
    <w:name w:val="hgkelc"/>
    <w:basedOn w:val="DefaultParagraphFont"/>
    <w:rsid w:val="000A1802"/>
  </w:style>
  <w:style w:type="character" w:customStyle="1" w:styleId="acopre1">
    <w:name w:val="acopre1"/>
    <w:basedOn w:val="DefaultParagraphFont"/>
    <w:rsid w:val="001B137C"/>
  </w:style>
  <w:style w:type="character" w:styleId="CommentReference">
    <w:name w:val="annotation reference"/>
    <w:basedOn w:val="DefaultParagraphFont"/>
    <w:uiPriority w:val="99"/>
    <w:semiHidden/>
    <w:unhideWhenUsed/>
    <w:rsid w:val="009211D0"/>
    <w:rPr>
      <w:sz w:val="16"/>
      <w:szCs w:val="16"/>
    </w:rPr>
  </w:style>
  <w:style w:type="paragraph" w:styleId="CommentText">
    <w:name w:val="annotation text"/>
    <w:basedOn w:val="Normal"/>
    <w:link w:val="CommentTextChar"/>
    <w:uiPriority w:val="99"/>
    <w:semiHidden/>
    <w:unhideWhenUsed/>
    <w:rsid w:val="009211D0"/>
    <w:pPr>
      <w:spacing w:line="240" w:lineRule="auto"/>
    </w:pPr>
    <w:rPr>
      <w:sz w:val="20"/>
      <w:szCs w:val="20"/>
    </w:rPr>
  </w:style>
  <w:style w:type="character" w:customStyle="1" w:styleId="CommentTextChar">
    <w:name w:val="Comment Text Char"/>
    <w:basedOn w:val="DefaultParagraphFont"/>
    <w:link w:val="CommentText"/>
    <w:uiPriority w:val="99"/>
    <w:semiHidden/>
    <w:rsid w:val="009211D0"/>
    <w:rPr>
      <w:sz w:val="20"/>
      <w:szCs w:val="20"/>
    </w:rPr>
  </w:style>
  <w:style w:type="paragraph" w:styleId="CommentSubject">
    <w:name w:val="annotation subject"/>
    <w:basedOn w:val="CommentText"/>
    <w:next w:val="CommentText"/>
    <w:link w:val="CommentSubjectChar"/>
    <w:uiPriority w:val="99"/>
    <w:semiHidden/>
    <w:unhideWhenUsed/>
    <w:rsid w:val="009211D0"/>
    <w:rPr>
      <w:b/>
      <w:bCs/>
    </w:rPr>
  </w:style>
  <w:style w:type="character" w:customStyle="1" w:styleId="CommentSubjectChar">
    <w:name w:val="Comment Subject Char"/>
    <w:basedOn w:val="CommentTextChar"/>
    <w:link w:val="CommentSubject"/>
    <w:uiPriority w:val="99"/>
    <w:semiHidden/>
    <w:rsid w:val="009211D0"/>
    <w:rPr>
      <w:b/>
      <w:bCs/>
      <w:sz w:val="20"/>
      <w:szCs w:val="20"/>
    </w:rPr>
  </w:style>
  <w:style w:type="character" w:styleId="FollowedHyperlink">
    <w:name w:val="FollowedHyperlink"/>
    <w:basedOn w:val="DefaultParagraphFont"/>
    <w:uiPriority w:val="99"/>
    <w:semiHidden/>
    <w:unhideWhenUsed/>
    <w:rsid w:val="00076F88"/>
    <w:rPr>
      <w:color w:val="954F72" w:themeColor="followedHyperlink"/>
      <w:u w:val="single"/>
    </w:rPr>
  </w:style>
  <w:style w:type="paragraph" w:customStyle="1" w:styleId="EndNoteBibliographyTitle">
    <w:name w:val="EndNote Bibliography Title"/>
    <w:basedOn w:val="Normal"/>
    <w:link w:val="EndNoteBibliographyTitleChar"/>
    <w:rsid w:val="00E03157"/>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03157"/>
    <w:rPr>
      <w:rFonts w:ascii="Calibri" w:hAnsi="Calibri" w:cs="Calibri"/>
      <w:noProof/>
    </w:rPr>
  </w:style>
  <w:style w:type="paragraph" w:customStyle="1" w:styleId="EndNoteBibliography">
    <w:name w:val="EndNote Bibliography"/>
    <w:basedOn w:val="Normal"/>
    <w:link w:val="EndNoteBibliographyChar"/>
    <w:rsid w:val="00E03157"/>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E03157"/>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71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shane7@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ux6@cdc.gov" TargetMode="External"/><Relationship Id="rId12" Type="http://schemas.openxmlformats.org/officeDocument/2006/relationships/hyperlink" Target="mailto:Sanderson4@cd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ur6@cdc.gov" TargetMode="External"/><Relationship Id="rId5" Type="http://schemas.openxmlformats.org/officeDocument/2006/relationships/footnotes" Target="footnotes.xml"/><Relationship Id="rId10" Type="http://schemas.openxmlformats.org/officeDocument/2006/relationships/hyperlink" Target="mailto:uvm3@cdc.gov" TargetMode="External"/><Relationship Id="rId4" Type="http://schemas.openxmlformats.org/officeDocument/2006/relationships/webSettings" Target="webSettings.xml"/><Relationship Id="rId9" Type="http://schemas.openxmlformats.org/officeDocument/2006/relationships/hyperlink" Target="mailto:rms0051@mix.wv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755</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Stacey (CDC/NIOSH/HELD/ACIB)</dc:creator>
  <cp:keywords/>
  <dc:description/>
  <cp:lastModifiedBy>Strahin, Jennifer (CDC/NIOSH/HELD)</cp:lastModifiedBy>
  <cp:revision>4</cp:revision>
  <dcterms:created xsi:type="dcterms:W3CDTF">2024-06-06T17:31:00Z</dcterms:created>
  <dcterms:modified xsi:type="dcterms:W3CDTF">2024-12-27T17:58:00Z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2021-01-25T20:26:51Z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092921fd-c9d8-4dc3-a191-9bba7dfdd7ca</vt:lpwstr>
  </property>
  <property fmtid="{D5CDD505-2E9C-101B-9397-08002B2CF9AE}" pid="8" name="MSIP_Label_8af03ff0-41c5-4c41-b55e-fabb8fae94be_ContentBits">
    <vt:lpwstr>0</vt:lpwstr>
  </property>
</Properties>
</file>