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8E14E" w14:textId="66C5E603" w:rsidR="00AB1747" w:rsidRPr="00C259F3" w:rsidRDefault="00055654" w:rsidP="00C259F3">
      <w:pPr>
        <w:rPr>
          <w:rFonts w:cs="Times New Roman"/>
          <w:b/>
          <w:bCs/>
          <w:szCs w:val="24"/>
        </w:rPr>
      </w:pPr>
      <w:r w:rsidRPr="00C259F3">
        <w:rPr>
          <w:rFonts w:cs="Times New Roman"/>
          <w:b/>
          <w:bCs/>
          <w:szCs w:val="24"/>
        </w:rPr>
        <w:t xml:space="preserve">Dermal exposure to the </w:t>
      </w:r>
      <w:r w:rsidR="00F20020">
        <w:rPr>
          <w:rFonts w:cs="Times New Roman"/>
          <w:b/>
          <w:bCs/>
          <w:szCs w:val="24"/>
        </w:rPr>
        <w:t xml:space="preserve">immunomodulatory </w:t>
      </w:r>
      <w:r w:rsidRPr="00C259F3">
        <w:rPr>
          <w:rFonts w:cs="Times New Roman"/>
          <w:b/>
          <w:bCs/>
          <w:szCs w:val="24"/>
        </w:rPr>
        <w:t>antimicrobial chemical triclosan alters the skin barrier integrity and microbiome in mice</w:t>
      </w:r>
    </w:p>
    <w:p w14:paraId="3A89AEE5" w14:textId="48FF0FA9" w:rsidR="00055654" w:rsidRPr="00E43996" w:rsidRDefault="00E43996" w:rsidP="00C259F3">
      <w:pPr>
        <w:rPr>
          <w:rFonts w:cs="Times New Roman"/>
          <w:szCs w:val="24"/>
        </w:rPr>
      </w:pPr>
      <w:r w:rsidRPr="00E43996">
        <w:rPr>
          <w:rFonts w:cs="Times New Roman"/>
          <w:b/>
          <w:bCs/>
          <w:szCs w:val="24"/>
        </w:rPr>
        <w:t>Dataset Number</w:t>
      </w:r>
      <w:r>
        <w:rPr>
          <w:rFonts w:cs="Times New Roman"/>
          <w:b/>
          <w:bCs/>
          <w:szCs w:val="24"/>
        </w:rPr>
        <w:t xml:space="preserve">:  </w:t>
      </w:r>
      <w:r w:rsidR="00F320BC">
        <w:t>RD-1034-2022-0</w:t>
      </w:r>
    </w:p>
    <w:p w14:paraId="677314FA" w14:textId="74797B40" w:rsidR="00055654" w:rsidRPr="00C259F3" w:rsidRDefault="00C259F3" w:rsidP="00C259F3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Introductory Information</w:t>
      </w:r>
    </w:p>
    <w:p w14:paraId="554034D8" w14:textId="3CCE7FF2" w:rsidR="00716F11" w:rsidRPr="00116C7E" w:rsidRDefault="00716F11" w:rsidP="00716F11">
      <w:bookmarkStart w:id="0" w:name="_Hlk68090168"/>
      <w:r>
        <w:tab/>
      </w:r>
      <w:r w:rsidRPr="00206792">
        <w:t>Triclosan</w:t>
      </w:r>
      <w:r>
        <w:t xml:space="preserve"> is </w:t>
      </w:r>
      <w:r w:rsidRPr="00206792">
        <w:t xml:space="preserve">an antimicrobial chemical used </w:t>
      </w:r>
      <w:r>
        <w:t>in healthcare settings that can be absorbed through the skin</w:t>
      </w:r>
      <w:r w:rsidRPr="00206792">
        <w:t xml:space="preserve">. Exposure to triclosan has been positively associated with food and aeroallergy and asthma exacerbation in humans and, although not directly sensitizing, has been </w:t>
      </w:r>
      <w:r>
        <w:t>demonstrated</w:t>
      </w:r>
      <w:r w:rsidRPr="00206792">
        <w:t xml:space="preserve"> to augment the allergic response in a mouse model of asthma. The skin barrier and microbiome </w:t>
      </w:r>
      <w:r>
        <w:t>are thought</w:t>
      </w:r>
      <w:r w:rsidRPr="00206792">
        <w:t xml:space="preserve"> to play important roles in mediating </w:t>
      </w:r>
      <w:r>
        <w:t>inflammation</w:t>
      </w:r>
      <w:r w:rsidRPr="00206792">
        <w:t xml:space="preserve"> and </w:t>
      </w:r>
      <w:r>
        <w:t xml:space="preserve">allergy and disruptions may contribute to development of allergic disease. </w:t>
      </w:r>
      <w:r w:rsidRPr="00206792">
        <w:t xml:space="preserve">To investigate potential </w:t>
      </w:r>
      <w:r>
        <w:t>connections</w:t>
      </w:r>
      <w:r w:rsidRPr="00206792">
        <w:t xml:space="preserve"> of the skin barrier and microbiome </w:t>
      </w:r>
      <w:r>
        <w:t>with</w:t>
      </w:r>
      <w:r w:rsidRPr="00206792">
        <w:t xml:space="preserve"> immune responses to triclosan, </w:t>
      </w:r>
      <w:r>
        <w:t>SKH1</w:t>
      </w:r>
      <w:r w:rsidRPr="00206792">
        <w:t xml:space="preserve"> mice were dermally exposed</w:t>
      </w:r>
      <w:r>
        <w:t xml:space="preserve"> to triclosan (0.5-2%) or vehicle</w:t>
      </w:r>
      <w:r w:rsidRPr="00206792">
        <w:t xml:space="preserve"> for up to </w:t>
      </w:r>
      <w:r>
        <w:t>7</w:t>
      </w:r>
      <w:r w:rsidRPr="00206792">
        <w:t xml:space="preserve"> consecutive days. </w:t>
      </w:r>
    </w:p>
    <w:bookmarkEnd w:id="0"/>
    <w:p w14:paraId="685826DA" w14:textId="0341920F" w:rsidR="00055654" w:rsidRPr="00C259F3" w:rsidRDefault="00055654" w:rsidP="00C259F3">
      <w:pPr>
        <w:rPr>
          <w:rFonts w:cs="Times New Roman"/>
          <w:b/>
          <w:bCs/>
          <w:szCs w:val="24"/>
        </w:rPr>
      </w:pPr>
      <w:r w:rsidRPr="00C259F3">
        <w:rPr>
          <w:rFonts w:cs="Times New Roman"/>
          <w:b/>
          <w:bCs/>
          <w:szCs w:val="24"/>
        </w:rPr>
        <w:t>Methods Collection</w:t>
      </w:r>
    </w:p>
    <w:p w14:paraId="59597026" w14:textId="21692DC4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Triclosan Exposures</w:t>
      </w:r>
    </w:p>
    <w:p w14:paraId="3423D796" w14:textId="77777777" w:rsidR="006D5B87" w:rsidRPr="00C259F3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Female SKH1 mice (6-7 weeks old)</w:t>
      </w:r>
    </w:p>
    <w:p w14:paraId="736D4CA9" w14:textId="165A2075" w:rsidR="00CB1FC4" w:rsidRPr="00C259F3" w:rsidRDefault="00CB1FC4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Triclosan (0.5%, 2%) or acetone</w:t>
      </w:r>
      <w:r w:rsidR="00FF5425" w:rsidRPr="00C259F3">
        <w:rPr>
          <w:rFonts w:cs="Times New Roman"/>
          <w:szCs w:val="24"/>
        </w:rPr>
        <w:t xml:space="preserve"> (vehicle)</w:t>
      </w:r>
      <w:r w:rsidRPr="00C259F3">
        <w:rPr>
          <w:rFonts w:cs="Times New Roman"/>
          <w:szCs w:val="24"/>
        </w:rPr>
        <w:t xml:space="preserve"> on dorsal </w:t>
      </w:r>
      <w:r w:rsidR="00FF5425" w:rsidRPr="00C259F3">
        <w:rPr>
          <w:rFonts w:cs="Times New Roman"/>
          <w:szCs w:val="24"/>
        </w:rPr>
        <w:t xml:space="preserve">back skin </w:t>
      </w:r>
      <w:r w:rsidRPr="00C259F3">
        <w:rPr>
          <w:rFonts w:cs="Times New Roman"/>
          <w:szCs w:val="24"/>
        </w:rPr>
        <w:t>for 7 days</w:t>
      </w:r>
    </w:p>
    <w:p w14:paraId="42036E90" w14:textId="77777777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Trans-Epidermal Water Loss Measurements</w:t>
      </w:r>
    </w:p>
    <w:p w14:paraId="3ADF0336" w14:textId="25A18F4E" w:rsidR="00CB1FC4" w:rsidRPr="00C259F3" w:rsidRDefault="00CB1FC4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Trans-Epidermal Water Loss was measured daily with VapoMeter (Delfin)</w:t>
      </w:r>
    </w:p>
    <w:p w14:paraId="275ECF5A" w14:textId="29F84D89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Histology</w:t>
      </w:r>
    </w:p>
    <w:p w14:paraId="648C3907" w14:textId="2271A084" w:rsidR="006D5B87" w:rsidRPr="00C259F3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 xml:space="preserve">Back skin was </w:t>
      </w:r>
      <w:r w:rsidR="00C259F3">
        <w:rPr>
          <w:rFonts w:cs="Times New Roman"/>
          <w:szCs w:val="24"/>
        </w:rPr>
        <w:t xml:space="preserve">formalin-fixed, </w:t>
      </w:r>
      <w:r w:rsidRPr="00C259F3">
        <w:rPr>
          <w:rFonts w:cs="Times New Roman"/>
          <w:szCs w:val="24"/>
        </w:rPr>
        <w:t>embedded in paraffin</w:t>
      </w:r>
      <w:r w:rsidR="00C259F3">
        <w:rPr>
          <w:rFonts w:cs="Times New Roman"/>
          <w:szCs w:val="24"/>
        </w:rPr>
        <w:t>, and H&amp;E stained</w:t>
      </w:r>
    </w:p>
    <w:p w14:paraId="30446406" w14:textId="1E33F4BE" w:rsidR="00FF5425" w:rsidRPr="00C259F3" w:rsidRDefault="00FF542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Slides were brightfield imaged</w:t>
      </w:r>
      <w:r w:rsidR="006D5B87" w:rsidRPr="00C259F3">
        <w:rPr>
          <w:rFonts w:cs="Times New Roman"/>
          <w:szCs w:val="24"/>
        </w:rPr>
        <w:t xml:space="preserve"> at 40X</w:t>
      </w:r>
    </w:p>
    <w:p w14:paraId="4A40E614" w14:textId="628AFD75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Epidermal thickness was measured with 3 measurements/sample and averaged</w:t>
      </w:r>
    </w:p>
    <w:p w14:paraId="4F18E14E" w14:textId="58E05BD2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lastRenderedPageBreak/>
        <w:t xml:space="preserve">Immunofluorescence </w:t>
      </w:r>
    </w:p>
    <w:p w14:paraId="39877EE3" w14:textId="3C031C8F" w:rsidR="008F04D5" w:rsidRPr="00D66718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D66718">
        <w:rPr>
          <w:rFonts w:cs="Times New Roman"/>
          <w:szCs w:val="24"/>
        </w:rPr>
        <w:t>Back skin was fixed in 4% paraformaldehyde</w:t>
      </w:r>
      <w:r w:rsidR="00D66718" w:rsidRPr="00D66718">
        <w:rPr>
          <w:rFonts w:cs="Times New Roman"/>
          <w:szCs w:val="24"/>
        </w:rPr>
        <w:t xml:space="preserve">, </w:t>
      </w:r>
      <w:r w:rsidRPr="00D66718">
        <w:rPr>
          <w:rFonts w:cs="Times New Roman"/>
          <w:szCs w:val="24"/>
        </w:rPr>
        <w:t>frozen</w:t>
      </w:r>
      <w:r w:rsidR="00D66718" w:rsidRPr="00D66718">
        <w:rPr>
          <w:rFonts w:cs="Times New Roman"/>
          <w:szCs w:val="24"/>
        </w:rPr>
        <w:t xml:space="preserve">, </w:t>
      </w:r>
      <w:r w:rsidR="00D66718">
        <w:rPr>
          <w:rFonts w:cs="Times New Roman"/>
          <w:szCs w:val="24"/>
        </w:rPr>
        <w:t>sectioned, and</w:t>
      </w:r>
      <w:r w:rsidR="00D66718" w:rsidRPr="00D66718">
        <w:rPr>
          <w:rFonts w:cs="Times New Roman"/>
          <w:szCs w:val="24"/>
        </w:rPr>
        <w:t xml:space="preserve"> </w:t>
      </w:r>
      <w:r w:rsidR="008F04D5" w:rsidRPr="00D66718">
        <w:rPr>
          <w:rFonts w:cs="Times New Roman"/>
          <w:szCs w:val="24"/>
        </w:rPr>
        <w:t xml:space="preserve">stained with primary </w:t>
      </w:r>
      <w:r w:rsidR="00D66718">
        <w:rPr>
          <w:rFonts w:cs="Times New Roman"/>
          <w:szCs w:val="24"/>
        </w:rPr>
        <w:t>antibody</w:t>
      </w:r>
      <w:r w:rsidR="008F04D5" w:rsidRPr="00D66718">
        <w:rPr>
          <w:rFonts w:cs="Times New Roman"/>
          <w:szCs w:val="24"/>
        </w:rPr>
        <w:t xml:space="preserve"> (filaggrin, filaggrin 2, keratin 10, or keratin 14) and secondary antibody (Alexa Fluor 594)</w:t>
      </w:r>
    </w:p>
    <w:p w14:paraId="26910D6D" w14:textId="1F1A70B4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Images were acquired at 20X</w:t>
      </w:r>
      <w:r w:rsidR="00401491">
        <w:rPr>
          <w:rFonts w:cs="Times New Roman"/>
          <w:szCs w:val="24"/>
        </w:rPr>
        <w:t xml:space="preserve"> and distribution of protein was measured with 3 measurements/sample and averaged</w:t>
      </w:r>
    </w:p>
    <w:p w14:paraId="6FF9D130" w14:textId="6771828C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Protein Analysis</w:t>
      </w:r>
    </w:p>
    <w:p w14:paraId="0488FB13" w14:textId="77777777" w:rsidR="006D5B87" w:rsidRPr="00C259F3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Back skin was collected into tubes containing a steel bead and T-PER with Halt Protease and Phosphatase Inhibitor cocktail and 0.5 M EDTA</w:t>
      </w:r>
    </w:p>
    <w:p w14:paraId="4F3FDAFC" w14:textId="2F22C57B" w:rsidR="006D5B87" w:rsidRPr="00C259F3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Processed on a Tissue Lyser II and supernatant was collected</w:t>
      </w:r>
    </w:p>
    <w:p w14:paraId="63FECDAF" w14:textId="1301395D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Total protein was quantified using the BCA protein assay</w:t>
      </w:r>
    </w:p>
    <w:p w14:paraId="31025916" w14:textId="47C988A2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Proteins (filaggrin, filaggrin 2, keratin 10, keratin 14) were quantified with ProteinSimple Anti-Rabbit and Total Protein Detection Modules on Wes machine</w:t>
      </w:r>
    </w:p>
    <w:p w14:paraId="37873BEE" w14:textId="2D77A5BB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Area under the curve was calculated and normalized to total protein</w:t>
      </w:r>
    </w:p>
    <w:p w14:paraId="7DC0C67E" w14:textId="00F830A0" w:rsidR="00CB1FC4" w:rsidRPr="00C259F3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Gene Expression Analysis</w:t>
      </w:r>
    </w:p>
    <w:p w14:paraId="4C6E2731" w14:textId="7FE60B51" w:rsidR="006D5B87" w:rsidRPr="00C259F3" w:rsidRDefault="006D5B87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 xml:space="preserve">Back skin </w:t>
      </w:r>
      <w:r w:rsidR="00C259F3">
        <w:rPr>
          <w:rFonts w:cs="Times New Roman"/>
          <w:szCs w:val="24"/>
        </w:rPr>
        <w:t>was</w:t>
      </w:r>
      <w:r w:rsidRPr="00C259F3">
        <w:rPr>
          <w:rFonts w:cs="Times New Roman"/>
          <w:szCs w:val="24"/>
        </w:rPr>
        <w:t xml:space="preserve"> collected into tubes containing 500 µL RNAlater</w:t>
      </w:r>
    </w:p>
    <w:p w14:paraId="3B157702" w14:textId="37F0F617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Total RNA was isolated using RNeasy kit and reverse transcribed</w:t>
      </w:r>
    </w:p>
    <w:p w14:paraId="321DB104" w14:textId="01D9618A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Real-time quantitative PCR was performed with TaqMan Fast Universal PCR master mix, cDNA, and genes-specific primers</w:t>
      </w:r>
    </w:p>
    <w:p w14:paraId="0B7FAAFA" w14:textId="2EBB4135" w:rsidR="008F04D5" w:rsidRPr="00C259F3" w:rsidRDefault="008F04D5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Genes evaluated include filaggrin, filaggrin 2, involucrin, loricrin, keratin 10, keratin 14, tight junction protein 1, occludin/ELL domain containing 1, integrin subunit beta like 1, S100a8, thymic stromal lymphopoietin, e-cadherin, Toll-like receptor 4, interleukin 4, interleukin 22</w:t>
      </w:r>
    </w:p>
    <w:p w14:paraId="36332202" w14:textId="5AA277E2" w:rsidR="00CB1FC4" w:rsidRDefault="00CB1FC4" w:rsidP="00C259F3">
      <w:pPr>
        <w:pStyle w:val="ListParagraph"/>
        <w:numPr>
          <w:ilvl w:val="0"/>
          <w:numId w:val="2"/>
        </w:num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lastRenderedPageBreak/>
        <w:t>Bacterial Collection</w:t>
      </w:r>
      <w:r w:rsidR="00C259F3">
        <w:rPr>
          <w:rFonts w:cs="Times New Roman"/>
          <w:szCs w:val="24"/>
        </w:rPr>
        <w:t xml:space="preserve">, </w:t>
      </w:r>
      <w:r w:rsidRPr="00C259F3">
        <w:rPr>
          <w:rFonts w:cs="Times New Roman"/>
          <w:szCs w:val="24"/>
        </w:rPr>
        <w:t>Isolation</w:t>
      </w:r>
      <w:r w:rsidR="00C259F3">
        <w:rPr>
          <w:rFonts w:cs="Times New Roman"/>
          <w:szCs w:val="24"/>
        </w:rPr>
        <w:t>, Sequencing, Analysis</w:t>
      </w:r>
    </w:p>
    <w:p w14:paraId="023A17EC" w14:textId="77777777" w:rsidR="006F71C7" w:rsidRPr="006F71C7" w:rsidRDefault="00C259F3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6F71C7">
        <w:rPr>
          <w:rFonts w:cs="Times New Roman"/>
          <w:szCs w:val="24"/>
        </w:rPr>
        <w:t xml:space="preserve">Skin bacteria was collected with a sterile foam tipped applicator prior to exposure (day 0), throughout exposure (day 1 and 3), </w:t>
      </w:r>
      <w:r w:rsidR="006F71C7">
        <w:t>one-day after the last exposure (day 7), and one-week after the last exposure (day 13)</w:t>
      </w:r>
    </w:p>
    <w:p w14:paraId="58645CC7" w14:textId="71812374" w:rsidR="00C259F3" w:rsidRPr="006F71C7" w:rsidRDefault="00C259F3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 w:rsidRPr="006F71C7">
        <w:rPr>
          <w:rFonts w:cs="Times New Roman"/>
          <w:szCs w:val="24"/>
        </w:rPr>
        <w:t>Gut bacteria were collected following euthanasia on day 7</w:t>
      </w:r>
    </w:p>
    <w:p w14:paraId="35BA3121" w14:textId="5A532D25" w:rsidR="00CB1FC4" w:rsidRDefault="00C259F3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Microbial DNA was isolated and sequenced on an Illumina MiSeq</w:t>
      </w:r>
    </w:p>
    <w:p w14:paraId="43F7D4D5" w14:textId="5B5FD324" w:rsidR="00C259F3" w:rsidRPr="00C259F3" w:rsidRDefault="00C259F3" w:rsidP="00C259F3">
      <w:pPr>
        <w:pStyle w:val="ListParagraph"/>
        <w:numPr>
          <w:ilvl w:val="1"/>
          <w:numId w:val="2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Paired-end sequencing reads were analyzed by QIIME2</w:t>
      </w:r>
    </w:p>
    <w:p w14:paraId="32F77CA9" w14:textId="5A865E14" w:rsidR="006D5B87" w:rsidRPr="00C259F3" w:rsidRDefault="0063733D" w:rsidP="00C259F3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Citations</w:t>
      </w:r>
    </w:p>
    <w:p w14:paraId="5D30C63C" w14:textId="3331DE21" w:rsidR="00E43996" w:rsidRDefault="00E43996" w:rsidP="00C259F3">
      <w:pPr>
        <w:rPr>
          <w:rFonts w:cs="Times New Roman"/>
          <w:szCs w:val="24"/>
        </w:rPr>
      </w:pPr>
      <w:r w:rsidRPr="00E0086B">
        <w:t xml:space="preserve">Rachel Baur, Jasleen Gandhi , Nikki B Marshall , Ewa Lukomska , Lisa M Weatherly, Hillary L Shane, </w:t>
      </w:r>
      <w:proofErr w:type="spellStart"/>
      <w:r w:rsidRPr="00E0086B">
        <w:t>Gangqing</w:t>
      </w:r>
      <w:proofErr w:type="spellEnd"/>
      <w:r w:rsidRPr="00E0086B">
        <w:t xml:space="preserve"> Hu, Stacey E Anderson</w:t>
      </w:r>
      <w:r>
        <w:t xml:space="preserve">. </w:t>
      </w:r>
      <w:r w:rsidRPr="00E0086B">
        <w:t xml:space="preserve">Dermal Exposure to the </w:t>
      </w:r>
      <w:r>
        <w:t>i</w:t>
      </w:r>
      <w:r w:rsidRPr="00E0086B">
        <w:t>mmunomodulatory Antimicrobial Chemical Triclosan Alters the Skin Barrier Integrity and Microbiome in Mice</w:t>
      </w:r>
      <w:r>
        <w:t xml:space="preserve">. </w:t>
      </w:r>
      <w:proofErr w:type="spellStart"/>
      <w:r w:rsidRPr="00E0086B">
        <w:t>Toxicol</w:t>
      </w:r>
      <w:proofErr w:type="spellEnd"/>
      <w:r w:rsidRPr="00E0086B">
        <w:t xml:space="preserve"> Sci. 2021 Nov 24;184(2):223-235. </w:t>
      </w:r>
      <w:proofErr w:type="spellStart"/>
      <w:r w:rsidRPr="00E0086B">
        <w:t>doi</w:t>
      </w:r>
      <w:proofErr w:type="spellEnd"/>
      <w:r w:rsidRPr="00E0086B">
        <w:t xml:space="preserve">: </w:t>
      </w:r>
      <w:r w:rsidRPr="00C73BB9">
        <w:t>10.1093/</w:t>
      </w:r>
      <w:proofErr w:type="spellStart"/>
      <w:r w:rsidRPr="00C73BB9">
        <w:t>toxsci</w:t>
      </w:r>
      <w:proofErr w:type="spellEnd"/>
      <w:r w:rsidRPr="00C73BB9">
        <w:t>/kfab111</w:t>
      </w:r>
      <w:r>
        <w:t>.</w:t>
      </w:r>
    </w:p>
    <w:p w14:paraId="577CA534" w14:textId="63DA961A" w:rsidR="00055654" w:rsidRPr="00C259F3" w:rsidRDefault="00055654" w:rsidP="00C259F3">
      <w:pPr>
        <w:rPr>
          <w:rFonts w:cs="Times New Roman"/>
          <w:szCs w:val="24"/>
        </w:rPr>
      </w:pPr>
    </w:p>
    <w:p w14:paraId="53BD57F5" w14:textId="532391F0" w:rsidR="00055654" w:rsidRPr="00C259F3" w:rsidRDefault="00055654" w:rsidP="00C259F3">
      <w:pPr>
        <w:rPr>
          <w:rFonts w:cs="Times New Roman"/>
          <w:b/>
          <w:bCs/>
          <w:szCs w:val="24"/>
        </w:rPr>
      </w:pPr>
      <w:r w:rsidRPr="00C259F3">
        <w:rPr>
          <w:rFonts w:cs="Times New Roman"/>
          <w:b/>
          <w:bCs/>
          <w:szCs w:val="24"/>
        </w:rPr>
        <w:t>Acknowledgements</w:t>
      </w:r>
    </w:p>
    <w:p w14:paraId="16A28A9E" w14:textId="39C2ADA1" w:rsidR="006D5B87" w:rsidRPr="00C259F3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This work was supported by NIOSH.</w:t>
      </w:r>
    </w:p>
    <w:p w14:paraId="7C8BBF2B" w14:textId="2AE8426F" w:rsidR="006D5B87" w:rsidRPr="00C259F3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 xml:space="preserve">Rachel Baur </w:t>
      </w:r>
      <w:hyperlink r:id="rId7" w:history="1">
        <w:r w:rsidRPr="00C259F3">
          <w:rPr>
            <w:rStyle w:val="Hyperlink"/>
            <w:rFonts w:cs="Times New Roman"/>
            <w:szCs w:val="24"/>
          </w:rPr>
          <w:t>oee6@cdc.gov</w:t>
        </w:r>
      </w:hyperlink>
    </w:p>
    <w:p w14:paraId="00070487" w14:textId="6F37779A" w:rsidR="00055654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Jasleen Gandhi</w:t>
      </w:r>
      <w:r w:rsidR="00D66718">
        <w:rPr>
          <w:rFonts w:cs="Times New Roman"/>
          <w:szCs w:val="24"/>
        </w:rPr>
        <w:t xml:space="preserve"> </w:t>
      </w:r>
      <w:hyperlink r:id="rId8" w:history="1">
        <w:r w:rsidR="00D66718" w:rsidRPr="00FF5D31">
          <w:rPr>
            <w:rStyle w:val="Hyperlink"/>
            <w:rFonts w:cs="Times New Roman"/>
            <w:szCs w:val="24"/>
          </w:rPr>
          <w:t>jkgandhi@mix.wvu.edu</w:t>
        </w:r>
      </w:hyperlink>
    </w:p>
    <w:p w14:paraId="778FE83B" w14:textId="7CFF51C0" w:rsidR="006D5B87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Nikki B. Marshall</w:t>
      </w:r>
      <w:r w:rsidR="00D66718">
        <w:rPr>
          <w:rFonts w:cs="Times New Roman"/>
          <w:szCs w:val="24"/>
        </w:rPr>
        <w:t xml:space="preserve"> </w:t>
      </w:r>
      <w:hyperlink r:id="rId9" w:history="1">
        <w:r w:rsidR="00D66718" w:rsidRPr="00FF5D31">
          <w:rPr>
            <w:rStyle w:val="Hyperlink"/>
            <w:rFonts w:cs="Times New Roman"/>
            <w:szCs w:val="24"/>
          </w:rPr>
          <w:t>Nikki.b.marshall@gsk.com</w:t>
        </w:r>
      </w:hyperlink>
    </w:p>
    <w:p w14:paraId="0E83D641" w14:textId="6A4EAEAC" w:rsidR="006D5B87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Ewa Lukomska</w:t>
      </w:r>
      <w:r w:rsidR="00D66718">
        <w:rPr>
          <w:rFonts w:cs="Times New Roman"/>
          <w:szCs w:val="24"/>
        </w:rPr>
        <w:t xml:space="preserve"> </w:t>
      </w:r>
      <w:hyperlink r:id="rId10" w:history="1">
        <w:r w:rsidR="00D66718" w:rsidRPr="00FF5D31">
          <w:rPr>
            <w:rStyle w:val="Hyperlink"/>
            <w:rFonts w:cs="Times New Roman"/>
            <w:szCs w:val="24"/>
          </w:rPr>
          <w:t>uvm3@cdc.gov</w:t>
        </w:r>
      </w:hyperlink>
    </w:p>
    <w:p w14:paraId="60AB8EB5" w14:textId="2C6108F7" w:rsidR="006D5B87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Lisa M. Weatherly</w:t>
      </w:r>
      <w:r w:rsidR="00D66718">
        <w:rPr>
          <w:rFonts w:cs="Times New Roman"/>
          <w:szCs w:val="24"/>
        </w:rPr>
        <w:t xml:space="preserve"> </w:t>
      </w:r>
      <w:hyperlink r:id="rId11" w:history="1">
        <w:r w:rsidR="00D66718" w:rsidRPr="00FF5D31">
          <w:rPr>
            <w:rStyle w:val="Hyperlink"/>
            <w:rFonts w:cs="Times New Roman"/>
            <w:szCs w:val="24"/>
          </w:rPr>
          <w:t>nux6@cdc.gov</w:t>
        </w:r>
      </w:hyperlink>
    </w:p>
    <w:p w14:paraId="7CE1BA97" w14:textId="78BC44D2" w:rsidR="006D5B87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lastRenderedPageBreak/>
        <w:t>Hillary L. Shane</w:t>
      </w:r>
      <w:r w:rsidR="00D66718">
        <w:rPr>
          <w:rFonts w:cs="Times New Roman"/>
          <w:szCs w:val="24"/>
        </w:rPr>
        <w:t xml:space="preserve"> </w:t>
      </w:r>
      <w:hyperlink r:id="rId12" w:history="1">
        <w:r w:rsidR="00D66718" w:rsidRPr="00FF5D31">
          <w:rPr>
            <w:rStyle w:val="Hyperlink"/>
            <w:rFonts w:cs="Times New Roman"/>
            <w:szCs w:val="24"/>
          </w:rPr>
          <w:t>gtt2@cdc.gov</w:t>
        </w:r>
      </w:hyperlink>
    </w:p>
    <w:p w14:paraId="19F83DC1" w14:textId="191882C3" w:rsidR="006D5B87" w:rsidRDefault="003E696C" w:rsidP="00C259F3">
      <w:pPr>
        <w:rPr>
          <w:rFonts w:cs="Times New Roman"/>
          <w:szCs w:val="24"/>
        </w:rPr>
      </w:pPr>
      <w:r w:rsidRPr="00F208B2">
        <w:t xml:space="preserve">Gangqing </w:t>
      </w:r>
      <w:r w:rsidR="006D5B87" w:rsidRPr="00C259F3">
        <w:rPr>
          <w:rFonts w:cs="Times New Roman"/>
          <w:szCs w:val="24"/>
        </w:rPr>
        <w:t>Hu</w:t>
      </w:r>
      <w:r w:rsidR="00D66718">
        <w:rPr>
          <w:rFonts w:cs="Times New Roman"/>
          <w:szCs w:val="24"/>
        </w:rPr>
        <w:t xml:space="preserve"> </w:t>
      </w:r>
      <w:hyperlink r:id="rId13" w:history="1">
        <w:r w:rsidR="00D66718" w:rsidRPr="00FF5D31">
          <w:rPr>
            <w:rStyle w:val="Hyperlink"/>
            <w:rFonts w:cs="Times New Roman"/>
            <w:szCs w:val="24"/>
          </w:rPr>
          <w:t>michael.hu@hsc.wvu.edu</w:t>
        </w:r>
      </w:hyperlink>
    </w:p>
    <w:p w14:paraId="147B43F6" w14:textId="6402208E" w:rsidR="006D5B87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Stacey E. Anderson</w:t>
      </w:r>
      <w:r w:rsidR="00D66718">
        <w:rPr>
          <w:rFonts w:cs="Times New Roman"/>
          <w:szCs w:val="24"/>
        </w:rPr>
        <w:t xml:space="preserve"> </w:t>
      </w:r>
      <w:hyperlink r:id="rId14" w:history="1">
        <w:r w:rsidR="00D66718" w:rsidRPr="00FF5D31">
          <w:rPr>
            <w:rStyle w:val="Hyperlink"/>
            <w:rFonts w:cs="Times New Roman"/>
            <w:szCs w:val="24"/>
          </w:rPr>
          <w:t>dbx7@cdc.gov</w:t>
        </w:r>
      </w:hyperlink>
    </w:p>
    <w:p w14:paraId="5D933ED4" w14:textId="77777777" w:rsidR="006D5B87" w:rsidRPr="00C259F3" w:rsidRDefault="006D5B87" w:rsidP="00C259F3">
      <w:pPr>
        <w:rPr>
          <w:rFonts w:cs="Times New Roman"/>
          <w:szCs w:val="24"/>
        </w:rPr>
      </w:pPr>
    </w:p>
    <w:p w14:paraId="060CFA95" w14:textId="3A4D11B1" w:rsidR="00055654" w:rsidRPr="00C259F3" w:rsidRDefault="00055654" w:rsidP="00C259F3">
      <w:pPr>
        <w:rPr>
          <w:rFonts w:cs="Times New Roman"/>
          <w:b/>
          <w:bCs/>
          <w:szCs w:val="24"/>
        </w:rPr>
      </w:pPr>
      <w:r w:rsidRPr="00C259F3">
        <w:rPr>
          <w:rFonts w:cs="Times New Roman"/>
          <w:b/>
          <w:bCs/>
          <w:szCs w:val="24"/>
        </w:rPr>
        <w:t>Contact</w:t>
      </w:r>
    </w:p>
    <w:p w14:paraId="5B4B9DCB" w14:textId="29FCB9B2" w:rsidR="00D66718" w:rsidRDefault="00D66718" w:rsidP="00C259F3">
      <w:pPr>
        <w:rPr>
          <w:rFonts w:cs="Times New Roman"/>
          <w:szCs w:val="24"/>
        </w:rPr>
      </w:pPr>
      <w:r>
        <w:rPr>
          <w:rFonts w:cs="Times New Roman"/>
          <w:szCs w:val="24"/>
        </w:rPr>
        <w:t>For further information contact:</w:t>
      </w:r>
    </w:p>
    <w:p w14:paraId="73A18339" w14:textId="5E6B73F0" w:rsidR="00055654" w:rsidRPr="00C259F3" w:rsidRDefault="006D5B87" w:rsidP="00C259F3">
      <w:pPr>
        <w:rPr>
          <w:rFonts w:cs="Times New Roman"/>
          <w:szCs w:val="24"/>
        </w:rPr>
      </w:pPr>
      <w:r w:rsidRPr="00C259F3">
        <w:rPr>
          <w:rFonts w:cs="Times New Roman"/>
          <w:szCs w:val="24"/>
        </w:rPr>
        <w:t>Allergy and Clinical Immunology Branch (</w:t>
      </w:r>
      <w:r w:rsidR="00055654" w:rsidRPr="00C259F3">
        <w:rPr>
          <w:rFonts w:cs="Times New Roman"/>
          <w:szCs w:val="24"/>
        </w:rPr>
        <w:t>ACIB</w:t>
      </w:r>
      <w:r w:rsidRPr="00C259F3">
        <w:rPr>
          <w:rFonts w:cs="Times New Roman"/>
          <w:szCs w:val="24"/>
        </w:rPr>
        <w:t>)</w:t>
      </w:r>
      <w:r w:rsidR="00055654" w:rsidRPr="00C259F3">
        <w:rPr>
          <w:rFonts w:cs="Times New Roman"/>
          <w:szCs w:val="24"/>
        </w:rPr>
        <w:t xml:space="preserve">, </w:t>
      </w:r>
      <w:r w:rsidRPr="00C259F3">
        <w:rPr>
          <w:rFonts w:cs="Times New Roman"/>
          <w:szCs w:val="24"/>
        </w:rPr>
        <w:t>Health Effects Laboratory Division (</w:t>
      </w:r>
      <w:r w:rsidR="00055654" w:rsidRPr="00C259F3">
        <w:rPr>
          <w:rFonts w:cs="Times New Roman"/>
          <w:szCs w:val="24"/>
        </w:rPr>
        <w:t>HELD</w:t>
      </w:r>
      <w:r w:rsidRPr="00C259F3">
        <w:rPr>
          <w:rFonts w:cs="Times New Roman"/>
          <w:szCs w:val="24"/>
        </w:rPr>
        <w:t>)</w:t>
      </w:r>
      <w:r w:rsidR="00055654" w:rsidRPr="00C259F3">
        <w:rPr>
          <w:rFonts w:cs="Times New Roman"/>
          <w:szCs w:val="24"/>
        </w:rPr>
        <w:t xml:space="preserve">, </w:t>
      </w:r>
      <w:r w:rsidRPr="00C259F3">
        <w:rPr>
          <w:rFonts w:cs="Times New Roman"/>
          <w:szCs w:val="24"/>
        </w:rPr>
        <w:t>National Institute for Occupational Safety and Health (</w:t>
      </w:r>
      <w:r w:rsidR="00055654" w:rsidRPr="00C259F3">
        <w:rPr>
          <w:rFonts w:cs="Times New Roman"/>
          <w:szCs w:val="24"/>
        </w:rPr>
        <w:t>NIOSH</w:t>
      </w:r>
      <w:r w:rsidRPr="00C259F3">
        <w:rPr>
          <w:rFonts w:cs="Times New Roman"/>
          <w:szCs w:val="24"/>
        </w:rPr>
        <w:t>), Morgantown, WV</w:t>
      </w:r>
    </w:p>
    <w:p w14:paraId="38185336" w14:textId="21332382" w:rsidR="00BF2503" w:rsidRPr="00C259F3" w:rsidRDefault="00BF2503" w:rsidP="00C259F3">
      <w:pPr>
        <w:rPr>
          <w:rFonts w:cs="Times New Roman"/>
          <w:szCs w:val="24"/>
        </w:rPr>
      </w:pPr>
      <w:r w:rsidRPr="00BF2503">
        <w:rPr>
          <w:rFonts w:cs="Times New Roman"/>
          <w:szCs w:val="24"/>
        </w:rPr>
        <w:t>304.285.6024</w:t>
      </w:r>
    </w:p>
    <w:sectPr w:rsidR="00BF2503" w:rsidRPr="00C25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E8A7" w14:textId="77777777" w:rsidR="00DB1CB4" w:rsidRDefault="00DB1CB4" w:rsidP="00D66718">
      <w:pPr>
        <w:spacing w:after="0" w:line="240" w:lineRule="auto"/>
      </w:pPr>
      <w:r>
        <w:separator/>
      </w:r>
    </w:p>
  </w:endnote>
  <w:endnote w:type="continuationSeparator" w:id="0">
    <w:p w14:paraId="55DD5CB7" w14:textId="77777777" w:rsidR="00DB1CB4" w:rsidRDefault="00DB1CB4" w:rsidP="00D6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14B1" w14:textId="77777777" w:rsidR="00DB1CB4" w:rsidRDefault="00DB1CB4" w:rsidP="00D66718">
      <w:pPr>
        <w:spacing w:after="0" w:line="240" w:lineRule="auto"/>
      </w:pPr>
      <w:r>
        <w:separator/>
      </w:r>
    </w:p>
  </w:footnote>
  <w:footnote w:type="continuationSeparator" w:id="0">
    <w:p w14:paraId="15FAD104" w14:textId="77777777" w:rsidR="00DB1CB4" w:rsidRDefault="00DB1CB4" w:rsidP="00D66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C3398"/>
    <w:multiLevelType w:val="hybridMultilevel"/>
    <w:tmpl w:val="A252D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721C3"/>
    <w:multiLevelType w:val="hybridMultilevel"/>
    <w:tmpl w:val="CF0A6B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24"/>
    <w:rsid w:val="00055654"/>
    <w:rsid w:val="003E696C"/>
    <w:rsid w:val="00401491"/>
    <w:rsid w:val="00436761"/>
    <w:rsid w:val="004E2086"/>
    <w:rsid w:val="00511A74"/>
    <w:rsid w:val="00570324"/>
    <w:rsid w:val="0063733D"/>
    <w:rsid w:val="006D5B87"/>
    <w:rsid w:val="006F71C7"/>
    <w:rsid w:val="00703B2A"/>
    <w:rsid w:val="00716F11"/>
    <w:rsid w:val="008F04D5"/>
    <w:rsid w:val="00AB1747"/>
    <w:rsid w:val="00B067E5"/>
    <w:rsid w:val="00B83921"/>
    <w:rsid w:val="00BF2503"/>
    <w:rsid w:val="00C259F3"/>
    <w:rsid w:val="00CB1FC4"/>
    <w:rsid w:val="00D66718"/>
    <w:rsid w:val="00DB1CB4"/>
    <w:rsid w:val="00DE0B7D"/>
    <w:rsid w:val="00E43996"/>
    <w:rsid w:val="00F20020"/>
    <w:rsid w:val="00F320BC"/>
    <w:rsid w:val="00FC62EA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C8D7004"/>
  <w15:chartTrackingRefBased/>
  <w15:docId w15:val="{1A29FD39-BC3D-4F55-AB16-2A403FC4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9F3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65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F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5B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B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25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9F3"/>
    <w:pPr>
      <w:spacing w:after="12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9F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761"/>
    <w:pPr>
      <w:spacing w:after="16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76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gandhi@mix.wvu.edu" TargetMode="External"/><Relationship Id="rId13" Type="http://schemas.openxmlformats.org/officeDocument/2006/relationships/hyperlink" Target="mailto:michael.hu@hsc.wvu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ee6@cdc.gov" TargetMode="External"/><Relationship Id="rId12" Type="http://schemas.openxmlformats.org/officeDocument/2006/relationships/hyperlink" Target="mailto:gtt2@cdc.go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ux6@cdc.g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vm3@cdc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kki.b.marshall@gsk.com" TargetMode="External"/><Relationship Id="rId14" Type="http://schemas.openxmlformats.org/officeDocument/2006/relationships/hyperlink" Target="mailto:dbx7@cd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Rachel (CDC/NIOSH/HELD/ACIB)</dc:creator>
  <cp:keywords/>
  <dc:description/>
  <cp:lastModifiedBy>Rehm, Carole Ann (CDC/NIOSH/HELD)</cp:lastModifiedBy>
  <cp:revision>7</cp:revision>
  <dcterms:created xsi:type="dcterms:W3CDTF">2021-05-18T15:40:00Z</dcterms:created>
  <dcterms:modified xsi:type="dcterms:W3CDTF">2022-04-04T15:08:00Z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2021-03-29T21:16:19Z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e3a497fc-efbf-4958-986c-21932eba95a3</vt:lpwstr>
  </property>
  <property fmtid="{D5CDD505-2E9C-101B-9397-08002B2CF9AE}" pid="8" name="MSIP_Label_7b94a7b8-f06c-4dfe-bdcc-9b548fd58c31_ContentBits">
    <vt:lpwstr>0</vt:lpwstr>
  </property>
</Properties>
</file>